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color w:val="auto"/>
          <w:kern w:val="0"/>
          <w:sz w:val="52"/>
          <w:szCs w:val="52"/>
        </w:rPr>
      </w:pPr>
    </w:p>
    <w:p>
      <w:pPr>
        <w:spacing w:line="540" w:lineRule="exact"/>
        <w:rPr>
          <w:rFonts w:eastAsia="华文中宋"/>
          <w:b/>
          <w:color w:val="auto"/>
          <w:kern w:val="0"/>
          <w:sz w:val="52"/>
          <w:szCs w:val="52"/>
        </w:rPr>
      </w:pPr>
    </w:p>
    <w:p>
      <w:pPr>
        <w:spacing w:line="540" w:lineRule="exact"/>
        <w:jc w:val="center"/>
        <w:rPr>
          <w:rFonts w:eastAsia="华文中宋"/>
          <w:b/>
          <w:color w:val="auto"/>
          <w:kern w:val="0"/>
          <w:sz w:val="52"/>
          <w:szCs w:val="52"/>
        </w:rPr>
      </w:pPr>
    </w:p>
    <w:p>
      <w:pPr>
        <w:spacing w:line="540" w:lineRule="exact"/>
        <w:jc w:val="center"/>
        <w:rPr>
          <w:rFonts w:eastAsia="华文中宋"/>
          <w:b/>
          <w:color w:val="auto"/>
          <w:kern w:val="0"/>
          <w:sz w:val="52"/>
          <w:szCs w:val="52"/>
        </w:rPr>
      </w:pPr>
    </w:p>
    <w:p>
      <w:pPr>
        <w:spacing w:line="540" w:lineRule="exact"/>
        <w:jc w:val="center"/>
        <w:rPr>
          <w:rFonts w:eastAsia="方正小标宋_GBK"/>
          <w:color w:val="auto"/>
          <w:kern w:val="0"/>
          <w:sz w:val="48"/>
          <w:szCs w:val="48"/>
        </w:rPr>
      </w:pPr>
      <w:r>
        <w:rPr>
          <w:rFonts w:hint="eastAsia" w:eastAsia="方正小标宋_GBK"/>
          <w:color w:val="auto"/>
          <w:kern w:val="0"/>
          <w:sz w:val="48"/>
          <w:szCs w:val="48"/>
        </w:rPr>
        <w:t>基层</w:t>
      </w:r>
      <w:r>
        <w:rPr>
          <w:rFonts w:eastAsia="方正小标宋_GBK"/>
          <w:color w:val="auto"/>
          <w:kern w:val="0"/>
          <w:sz w:val="48"/>
          <w:szCs w:val="48"/>
        </w:rPr>
        <w:t>工作经费项目支出绩效评价报告</w:t>
      </w:r>
    </w:p>
    <w:p>
      <w:pPr>
        <w:spacing w:line="540" w:lineRule="exact"/>
        <w:jc w:val="center"/>
        <w:rPr>
          <w:rFonts w:eastAsia="华文中宋"/>
          <w:b/>
          <w:color w:val="auto"/>
          <w:kern w:val="0"/>
          <w:sz w:val="52"/>
          <w:szCs w:val="52"/>
        </w:rPr>
      </w:pPr>
    </w:p>
    <w:p>
      <w:pPr>
        <w:spacing w:line="540" w:lineRule="exact"/>
        <w:jc w:val="center"/>
        <w:rPr>
          <w:rFonts w:eastAsia="仿宋_GB2312"/>
          <w:color w:val="auto"/>
          <w:kern w:val="0"/>
          <w:sz w:val="36"/>
          <w:szCs w:val="36"/>
        </w:rPr>
      </w:pPr>
      <w:r>
        <w:rPr>
          <w:rFonts w:eastAsia="仿宋_GB2312"/>
          <w:color w:val="auto"/>
          <w:kern w:val="0"/>
          <w:sz w:val="36"/>
          <w:szCs w:val="36"/>
        </w:rPr>
        <w:t>（ 2022年度）</w:t>
      </w: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pStyle w:val="9"/>
        <w:rPr>
          <w:color w:val="auto"/>
        </w:rPr>
      </w:pPr>
    </w:p>
    <w:p>
      <w:pPr>
        <w:spacing w:line="540" w:lineRule="exact"/>
        <w:jc w:val="center"/>
        <w:rPr>
          <w:rFonts w:eastAsia="仿宋_GB2312"/>
          <w:color w:val="auto"/>
          <w:kern w:val="0"/>
          <w:sz w:val="30"/>
          <w:szCs w:val="30"/>
        </w:rPr>
      </w:pPr>
    </w:p>
    <w:p>
      <w:pPr>
        <w:spacing w:line="540" w:lineRule="exact"/>
        <w:rPr>
          <w:rFonts w:eastAsia="仿宋_GB2312"/>
          <w:color w:val="auto"/>
          <w:kern w:val="0"/>
          <w:sz w:val="30"/>
          <w:szCs w:val="30"/>
        </w:rPr>
      </w:pPr>
    </w:p>
    <w:p>
      <w:pPr>
        <w:spacing w:line="700" w:lineRule="exact"/>
        <w:ind w:firstLine="1440" w:firstLineChars="400"/>
        <w:jc w:val="left"/>
        <w:rPr>
          <w:rFonts w:eastAsia="仿宋_GB2312"/>
          <w:color w:val="auto"/>
          <w:kern w:val="0"/>
          <w:sz w:val="36"/>
          <w:szCs w:val="36"/>
        </w:rPr>
      </w:pPr>
      <w:r>
        <w:rPr>
          <w:rFonts w:eastAsia="仿宋_GB2312"/>
          <w:color w:val="auto"/>
          <w:kern w:val="0"/>
          <w:sz w:val="36"/>
          <w:szCs w:val="36"/>
        </w:rPr>
        <w:t>项目名称：</w:t>
      </w:r>
      <w:r>
        <w:rPr>
          <w:rFonts w:hint="eastAsia" w:eastAsia="仿宋_GB2312"/>
          <w:color w:val="auto"/>
          <w:kern w:val="0"/>
          <w:sz w:val="36"/>
          <w:szCs w:val="36"/>
        </w:rPr>
        <w:t>基层</w:t>
      </w:r>
      <w:r>
        <w:rPr>
          <w:rFonts w:eastAsia="仿宋_GB2312"/>
          <w:color w:val="auto"/>
          <w:kern w:val="0"/>
          <w:sz w:val="36"/>
          <w:szCs w:val="36"/>
        </w:rPr>
        <w:t>工作经费</w:t>
      </w:r>
    </w:p>
    <w:p>
      <w:pPr>
        <w:spacing w:line="700" w:lineRule="exact"/>
        <w:ind w:firstLine="1440" w:firstLineChars="400"/>
        <w:jc w:val="left"/>
        <w:rPr>
          <w:rFonts w:eastAsia="仿宋_GB2312"/>
          <w:color w:val="auto"/>
          <w:kern w:val="0"/>
          <w:sz w:val="36"/>
          <w:szCs w:val="36"/>
        </w:rPr>
      </w:pPr>
      <w:r>
        <w:rPr>
          <w:rFonts w:eastAsia="仿宋_GB2312"/>
          <w:color w:val="auto"/>
          <w:kern w:val="0"/>
          <w:sz w:val="36"/>
          <w:szCs w:val="36"/>
        </w:rPr>
        <w:t>实施单位（公章）：哈密市中级人民法院</w:t>
      </w:r>
    </w:p>
    <w:p>
      <w:pPr>
        <w:spacing w:line="700" w:lineRule="exact"/>
        <w:ind w:firstLine="1440" w:firstLineChars="400"/>
        <w:jc w:val="left"/>
        <w:rPr>
          <w:rFonts w:eastAsia="仿宋_GB2312"/>
          <w:color w:val="auto"/>
          <w:kern w:val="0"/>
          <w:sz w:val="36"/>
          <w:szCs w:val="36"/>
        </w:rPr>
      </w:pPr>
      <w:r>
        <w:rPr>
          <w:rFonts w:eastAsia="仿宋_GB2312"/>
          <w:color w:val="auto"/>
          <w:kern w:val="0"/>
          <w:sz w:val="36"/>
          <w:szCs w:val="36"/>
        </w:rPr>
        <w:t>主管部门（公章）：哈密市中级人民法院</w:t>
      </w:r>
      <w:bookmarkStart w:id="5" w:name="_GoBack"/>
      <w:bookmarkEnd w:id="5"/>
    </w:p>
    <w:p>
      <w:pPr>
        <w:spacing w:line="700" w:lineRule="exact"/>
        <w:ind w:firstLine="1440" w:firstLineChars="400"/>
        <w:jc w:val="left"/>
        <w:rPr>
          <w:rFonts w:eastAsia="仿宋_GB2312"/>
          <w:color w:val="auto"/>
          <w:kern w:val="0"/>
          <w:sz w:val="36"/>
          <w:szCs w:val="36"/>
        </w:rPr>
      </w:pPr>
      <w:r>
        <w:rPr>
          <w:rFonts w:eastAsia="仿宋_GB2312"/>
          <w:color w:val="auto"/>
          <w:kern w:val="0"/>
          <w:sz w:val="36"/>
          <w:szCs w:val="36"/>
        </w:rPr>
        <w:t>项目负责人（签章）：王建新</w:t>
      </w:r>
    </w:p>
    <w:p>
      <w:pPr>
        <w:spacing w:line="700" w:lineRule="exact"/>
        <w:ind w:firstLine="1440" w:firstLineChars="400"/>
        <w:jc w:val="left"/>
        <w:rPr>
          <w:rFonts w:eastAsia="仿宋_GB2312"/>
          <w:color w:val="auto"/>
          <w:kern w:val="0"/>
          <w:sz w:val="36"/>
          <w:szCs w:val="36"/>
        </w:rPr>
      </w:pPr>
      <w:r>
        <w:rPr>
          <w:rFonts w:eastAsia="仿宋_GB2312"/>
          <w:color w:val="auto"/>
          <w:kern w:val="0"/>
          <w:sz w:val="36"/>
          <w:szCs w:val="36"/>
        </w:rPr>
        <w:t>填报时间：2023年3月13日</w:t>
      </w:r>
    </w:p>
    <w:p>
      <w:pPr>
        <w:spacing w:line="540" w:lineRule="exact"/>
        <w:jc w:val="center"/>
        <w:rPr>
          <w:rFonts w:eastAsia="仿宋_GB2312"/>
          <w:color w:val="auto"/>
          <w:kern w:val="0"/>
          <w:sz w:val="30"/>
          <w:szCs w:val="30"/>
        </w:rPr>
      </w:pPr>
    </w:p>
    <w:p>
      <w:pPr>
        <w:spacing w:line="540" w:lineRule="exact"/>
        <w:rPr>
          <w:rStyle w:val="15"/>
          <w:rFonts w:eastAsia="黑体"/>
          <w:b w:val="0"/>
          <w:color w:val="auto"/>
          <w:spacing w:val="-4"/>
          <w:sz w:val="32"/>
          <w:szCs w:val="32"/>
        </w:rPr>
      </w:pPr>
    </w:p>
    <w:p>
      <w:pPr>
        <w:spacing w:line="540" w:lineRule="exact"/>
        <w:ind w:firstLine="640"/>
        <w:rPr>
          <w:rStyle w:val="15"/>
          <w:rFonts w:eastAsia="黑体"/>
          <w:b w:val="0"/>
          <w:color w:val="auto"/>
          <w:spacing w:val="-4"/>
          <w:sz w:val="32"/>
          <w:szCs w:val="32"/>
        </w:rPr>
      </w:pPr>
    </w:p>
    <w:p>
      <w:pPr>
        <w:spacing w:line="540" w:lineRule="exact"/>
        <w:rPr>
          <w:rStyle w:val="15"/>
          <w:rFonts w:eastAsia="黑体"/>
          <w:b w:val="0"/>
          <w:color w:val="auto"/>
          <w:spacing w:val="-4"/>
          <w:sz w:val="32"/>
          <w:szCs w:val="32"/>
        </w:rPr>
      </w:pPr>
    </w:p>
    <w:p>
      <w:pPr>
        <w:spacing w:line="560" w:lineRule="exact"/>
        <w:ind w:firstLine="640" w:firstLineChars="200"/>
        <w:rPr>
          <w:rFonts w:eastAsia="黑体"/>
          <w:bCs/>
          <w:color w:val="auto"/>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color w:val="auto"/>
          <w:sz w:val="32"/>
          <w:szCs w:val="32"/>
        </w:rPr>
      </w:pPr>
      <w:r>
        <w:rPr>
          <w:rFonts w:eastAsia="黑体"/>
          <w:bCs/>
          <w:color w:val="auto"/>
          <w:sz w:val="32"/>
          <w:szCs w:val="32"/>
        </w:rPr>
        <w:t>一、基本情况</w:t>
      </w:r>
    </w:p>
    <w:p>
      <w:pPr>
        <w:spacing w:line="560" w:lineRule="exact"/>
        <w:ind w:firstLine="643" w:firstLineChars="200"/>
        <w:rPr>
          <w:rFonts w:eastAsia="楷体_GB2312"/>
          <w:b/>
          <w:bCs/>
          <w:color w:val="auto"/>
          <w:sz w:val="32"/>
          <w:szCs w:val="32"/>
        </w:rPr>
      </w:pPr>
      <w:r>
        <w:rPr>
          <w:rFonts w:eastAsia="楷体_GB2312"/>
          <w:b/>
          <w:bCs/>
          <w:color w:val="auto"/>
          <w:sz w:val="32"/>
          <w:szCs w:val="32"/>
        </w:rPr>
        <w:t>（一）项目概况</w:t>
      </w:r>
    </w:p>
    <w:p>
      <w:pPr>
        <w:spacing w:line="560" w:lineRule="exact"/>
        <w:ind w:firstLine="643" w:firstLineChars="200"/>
        <w:rPr>
          <w:rFonts w:eastAsia="仿宋_GB2312"/>
          <w:b/>
          <w:bCs/>
          <w:color w:val="auto"/>
          <w:sz w:val="32"/>
          <w:szCs w:val="32"/>
        </w:rPr>
      </w:pPr>
      <w:r>
        <w:rPr>
          <w:rFonts w:eastAsia="仿宋_GB2312"/>
          <w:b/>
          <w:bCs/>
          <w:color w:val="auto"/>
          <w:sz w:val="32"/>
          <w:szCs w:val="32"/>
        </w:rPr>
        <w:t>1、项目背景</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紧紧围绕总目标，积极统筹基层各支工作力量，认真落实基层工作“1+2+5”总体要求，扎实推进基层工作。坚持扎根基层，深入群众，围绕基层工作的“八项任务”开展工作，带领和统筹各支力量，聚焦落实总目标，深入持久地推进各项基层工作任务落实到位。</w:t>
      </w:r>
    </w:p>
    <w:p>
      <w:pPr>
        <w:pStyle w:val="9"/>
        <w:numPr>
          <w:ilvl w:val="0"/>
          <w:numId w:val="1"/>
        </w:numPr>
        <w:spacing w:before="0" w:after="0" w:line="560" w:lineRule="exact"/>
        <w:ind w:firstLine="643" w:firstLineChars="200"/>
        <w:jc w:val="both"/>
        <w:rPr>
          <w:rFonts w:ascii="Times New Roman" w:hAnsi="Times New Roman" w:eastAsia="仿宋_GB2312"/>
          <w:color w:val="auto"/>
          <w:kern w:val="2"/>
        </w:rPr>
      </w:pPr>
      <w:r>
        <w:rPr>
          <w:rFonts w:ascii="Times New Roman" w:hAnsi="Times New Roman" w:eastAsia="仿宋_GB2312"/>
          <w:color w:val="auto"/>
          <w:kern w:val="2"/>
        </w:rPr>
        <w:t>项目主要内容：</w:t>
      </w:r>
    </w:p>
    <w:p>
      <w:pPr>
        <w:spacing w:line="560" w:lineRule="exact"/>
        <w:ind w:firstLine="640" w:firstLineChars="200"/>
        <w:rPr>
          <w:rFonts w:hint="eastAsia" w:eastAsia="仿宋_GB2312"/>
          <w:color w:val="auto"/>
          <w:sz w:val="32"/>
          <w:szCs w:val="32"/>
        </w:rPr>
      </w:pPr>
      <w:r>
        <w:rPr>
          <w:rFonts w:hint="eastAsia" w:ascii="仿宋_GB2312" w:hAnsi="仿宋_GB2312" w:eastAsia="仿宋_GB2312" w:cs="仿宋_GB2312"/>
          <w:color w:val="auto"/>
          <w:sz w:val="32"/>
          <w:szCs w:val="32"/>
        </w:rPr>
        <w:t>项目主要内容：</w:t>
      </w:r>
      <w:r>
        <w:rPr>
          <w:rFonts w:hint="eastAsia" w:eastAsia="仿宋_GB2312"/>
          <w:color w:val="auto"/>
          <w:sz w:val="32"/>
          <w:szCs w:val="32"/>
        </w:rPr>
        <w:t>一是强化了基层党组织的核心作用。各基层工作队发挥参谋助手作用，坚持“好事让基层组织做，好人让基层干部当”，在传帮带中建强堡垒、优化服务，有效强化了基层党组织的核心作用。 二是深化了城乡统筹共建。统筹整合了资源，实现工作重心下移、对口帮扶，优势互补。 三是解决了一批热难点问题。围绕“聚民心”目标、把握群众思想观念转变、抓实基层教育、抓好惠民项目落实等方面，积极协助基层解决与群众切实利益息息相关的生产生活热难点问题。四是转变了干部工作作风。干部集中力量解决了一些事关群众切身利益的困难和问题，党群干群关系更加融洽。</w:t>
      </w:r>
    </w:p>
    <w:p>
      <w:pPr>
        <w:spacing w:line="560" w:lineRule="exact"/>
        <w:ind w:firstLine="643" w:firstLineChars="200"/>
        <w:rPr>
          <w:rFonts w:eastAsia="仿宋_GB2312"/>
          <w:b/>
          <w:bCs/>
          <w:color w:val="auto"/>
          <w:sz w:val="32"/>
          <w:szCs w:val="32"/>
        </w:rPr>
      </w:pPr>
      <w:r>
        <w:rPr>
          <w:rFonts w:eastAsia="仿宋_GB2312"/>
          <w:b/>
          <w:bCs/>
          <w:color w:val="auto"/>
          <w:sz w:val="32"/>
          <w:szCs w:val="32"/>
        </w:rPr>
        <w:t>3、资金投入和使用情况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（1）资金投入情况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该项目年初预算数30.69万元，全年预算数30.69万元，实际总投入30.69万元，该项目资金已全部落实到位。</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（2）资金使用情况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该项目年初预算数30.69万元，全年预算数30.69万元，全年执行数</w:t>
      </w:r>
      <w:r>
        <w:rPr>
          <w:rFonts w:ascii="仿宋_GB2312" w:hAnsi="仿宋_GB2312" w:eastAsia="仿宋_GB2312" w:cs="仿宋_GB2312"/>
          <w:color w:val="auto"/>
          <w:sz w:val="32"/>
          <w:szCs w:val="32"/>
        </w:rPr>
        <w:t>23.99</w:t>
      </w:r>
      <w:r>
        <w:rPr>
          <w:rFonts w:hint="eastAsia" w:ascii="仿宋_GB2312" w:hAnsi="仿宋_GB2312" w:eastAsia="仿宋_GB2312" w:cs="仿宋_GB2312"/>
          <w:color w:val="auto"/>
          <w:sz w:val="32"/>
          <w:szCs w:val="32"/>
        </w:rPr>
        <w:t>万元，预算执行率为78.17%，主要用于：办公用品及生活用品款1.09万元，水渠修建、道路平整及路灯安装更换维修费用14.41万元，慰问</w:t>
      </w:r>
      <w:r>
        <w:rPr>
          <w:rFonts w:hint="eastAsia" w:ascii="仿宋_GB2312" w:hAnsi="仿宋_GB2312" w:eastAsia="仿宋_GB2312" w:cs="仿宋_GB2312"/>
          <w:color w:val="auto"/>
          <w:sz w:val="32"/>
          <w:szCs w:val="32"/>
          <w:lang w:eastAsia="zh-CN"/>
        </w:rPr>
        <w:t>群众</w:t>
      </w:r>
      <w:r>
        <w:rPr>
          <w:rFonts w:hint="eastAsia" w:ascii="仿宋_GB2312" w:hAnsi="仿宋_GB2312" w:eastAsia="仿宋_GB2312" w:cs="仿宋_GB2312"/>
          <w:color w:val="auto"/>
          <w:sz w:val="32"/>
          <w:szCs w:val="32"/>
        </w:rPr>
        <w:t>费用6.50万元，为民办实事埋葡萄网子费0.93万元，为开展业务购置办公设备费用1.06万元。</w:t>
      </w:r>
    </w:p>
    <w:p>
      <w:pPr>
        <w:spacing w:line="560" w:lineRule="exact"/>
        <w:ind w:firstLine="643" w:firstLineChars="200"/>
        <w:rPr>
          <w:rFonts w:eastAsia="楷体_GB2312"/>
          <w:b/>
          <w:bCs/>
          <w:color w:val="auto"/>
          <w:sz w:val="32"/>
          <w:szCs w:val="32"/>
        </w:rPr>
      </w:pPr>
      <w:r>
        <w:rPr>
          <w:rFonts w:eastAsia="楷体_GB2312"/>
          <w:b/>
          <w:bCs/>
          <w:color w:val="auto"/>
          <w:sz w:val="32"/>
          <w:szCs w:val="32"/>
        </w:rPr>
        <w:t>（二）项目绩效目标</w:t>
      </w:r>
    </w:p>
    <w:p>
      <w:pPr>
        <w:spacing w:line="560" w:lineRule="exact"/>
        <w:ind w:firstLine="640" w:firstLineChars="200"/>
        <w:rPr>
          <w:rFonts w:eastAsia="仿宋_GB2312"/>
          <w:color w:val="auto"/>
          <w:sz w:val="32"/>
          <w:szCs w:val="32"/>
        </w:rPr>
      </w:pPr>
      <w:r>
        <w:rPr>
          <w:rFonts w:eastAsia="仿宋_GB2312"/>
          <w:color w:val="auto"/>
          <w:sz w:val="32"/>
          <w:szCs w:val="32"/>
        </w:rPr>
        <w:t>1、总体目标</w:t>
      </w:r>
    </w:p>
    <w:p>
      <w:pPr>
        <w:spacing w:line="56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基层工作经费主要用于基层工作各项支出，共计30.69万元。一是常态化开展传染病防治工作。坚定不移落实常态化传染病防治各项措施，落实常态化传染病防治八项监测预警机制。二是坚持做好群众工作贯穿始终。认真开展走访工作，倾听群众意见建议，进一步摸清民情民意，以群众满意为目标，着眼于解决群众最关心、最直接、最现实的利益问题，尽力帮助解决实际困难，不断增进与群众的情感，拉近与群众的距离。做好党和政府各项方针政策的宣传工作，不断提高化解基层矛盾和做好群众工作能力。三是开展形式多样的宣传活动。采取多种形式组织开展各类贴近实际、贴近生活、贴近群众的活动，广泛宣传传染病防治和安全生产、防灾减灾相关知识，宣传党的各项惠民政策。四是开展突出隐患治理行动。一方面继续加大安全生产、防灾减灾和应急管理宣传活动，不断增强全村安全意识，另一方面持续开展安全隐患排查治理工作。五是大力实施环境卫生整治。发动干部群众持续开展爱国卫生运动，着力改善村民居住环境。</w:t>
      </w:r>
    </w:p>
    <w:p>
      <w:pPr>
        <w:spacing w:line="560" w:lineRule="exact"/>
        <w:ind w:firstLine="640" w:firstLineChars="200"/>
        <w:rPr>
          <w:rFonts w:ascii="仿宋_GB2312" w:hAnsi="仿宋_GB2312" w:eastAsia="仿宋_GB2312" w:cs="仿宋_GB2312"/>
          <w:color w:val="auto"/>
          <w:sz w:val="30"/>
          <w:szCs w:val="30"/>
        </w:rPr>
      </w:pPr>
      <w:r>
        <w:rPr>
          <w:rFonts w:eastAsia="仿宋_GB2312"/>
          <w:color w:val="auto"/>
          <w:sz w:val="32"/>
          <w:szCs w:val="32"/>
        </w:rPr>
        <w:t>2、阶段性目标</w:t>
      </w:r>
    </w:p>
    <w:p>
      <w:pPr>
        <w:spacing w:line="5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2022年1-3月帮助村党组织理清党建工作思路，明确工作重点，加强基层党组织战斗力、凝聚力；开展慰问工作。</w:t>
      </w:r>
    </w:p>
    <w:p>
      <w:pPr>
        <w:spacing w:line="5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2022年4-6月提升乡村文化阵地建设，春耕备耕，着力做好生产生活等各项工作。</w:t>
      </w:r>
    </w:p>
    <w:p>
      <w:pPr>
        <w:spacing w:line="5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2022年7-10月在建党100周年之际开展爱国主义教育，修建水渠及维修更换路灯及传染病防治等各项工作。</w:t>
      </w:r>
    </w:p>
    <w:p>
      <w:pPr>
        <w:spacing w:line="5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2022年11月-12月</w:t>
      </w:r>
      <w:r>
        <w:rPr>
          <w:rFonts w:ascii="仿宋_GB2312" w:hAnsi="仿宋_GB2312" w:eastAsia="仿宋_GB2312" w:cs="仿宋_GB2312"/>
          <w:bCs/>
          <w:color w:val="auto"/>
          <w:sz w:val="32"/>
          <w:szCs w:val="32"/>
        </w:rPr>
        <w:t>，</w:t>
      </w:r>
      <w:r>
        <w:rPr>
          <w:rFonts w:hint="eastAsia" w:ascii="仿宋_GB2312" w:hAnsi="仿宋_GB2312" w:eastAsia="仿宋_GB2312" w:cs="仿宋_GB2312"/>
          <w:bCs/>
          <w:color w:val="auto"/>
          <w:sz w:val="32"/>
          <w:szCs w:val="32"/>
        </w:rPr>
        <w:t>开展元旦前送温暖各项工作。</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该项目实施改善了村容村貌，提高</w:t>
      </w:r>
      <w:r>
        <w:rPr>
          <w:rFonts w:hint="eastAsia" w:ascii="仿宋_GB2312" w:hAnsi="仿宋_GB2312" w:eastAsia="仿宋_GB2312" w:cs="仿宋_GB2312"/>
          <w:color w:val="auto"/>
          <w:sz w:val="32"/>
          <w:szCs w:val="32"/>
        </w:rPr>
        <w:t>政策宣传知晓度。</w:t>
      </w:r>
    </w:p>
    <w:p>
      <w:pPr>
        <w:spacing w:line="560" w:lineRule="exact"/>
        <w:ind w:firstLine="640" w:firstLineChars="200"/>
        <w:rPr>
          <w:rFonts w:eastAsia="黑体"/>
          <w:color w:val="auto"/>
          <w:sz w:val="32"/>
          <w:szCs w:val="32"/>
        </w:rPr>
      </w:pPr>
      <w:r>
        <w:rPr>
          <w:rFonts w:eastAsia="黑体"/>
          <w:color w:val="auto"/>
          <w:sz w:val="32"/>
          <w:szCs w:val="32"/>
        </w:rPr>
        <w:t>二、绩效评价工作开展情况</w:t>
      </w:r>
    </w:p>
    <w:p>
      <w:pPr>
        <w:spacing w:line="560" w:lineRule="exact"/>
        <w:ind w:firstLine="643" w:firstLineChars="200"/>
        <w:rPr>
          <w:rFonts w:eastAsia="楷体_GB2312"/>
          <w:b/>
          <w:bCs/>
          <w:color w:val="auto"/>
          <w:sz w:val="32"/>
          <w:szCs w:val="32"/>
        </w:rPr>
      </w:pPr>
      <w:r>
        <w:rPr>
          <w:rFonts w:eastAsia="楷体_GB2312"/>
          <w:b/>
          <w:bCs/>
          <w:color w:val="auto"/>
          <w:sz w:val="32"/>
          <w:szCs w:val="32"/>
        </w:rPr>
        <w:t>（一）绩效评价目的、对象和范围</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1、绩效评价的目的</w:t>
      </w:r>
    </w:p>
    <w:p>
      <w:pPr>
        <w:spacing w:line="560" w:lineRule="exact"/>
        <w:ind w:firstLine="640" w:firstLineChars="200"/>
        <w:rPr>
          <w:rFonts w:eastAsia="仿宋_GB2312"/>
          <w:color w:val="auto"/>
          <w:sz w:val="32"/>
          <w:szCs w:val="32"/>
        </w:rPr>
      </w:pPr>
      <w:r>
        <w:rPr>
          <w:rFonts w:eastAsia="仿宋_GB2312"/>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color w:val="auto"/>
          <w:sz w:val="32"/>
          <w:szCs w:val="32"/>
        </w:rPr>
      </w:pPr>
      <w:r>
        <w:rPr>
          <w:rFonts w:eastAsia="仿宋_GB2312"/>
          <w:color w:val="auto"/>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color w:val="auto"/>
          <w:sz w:val="32"/>
          <w:szCs w:val="32"/>
        </w:rPr>
      </w:pPr>
      <w:r>
        <w:rPr>
          <w:rFonts w:eastAsia="仿宋_GB2312"/>
          <w:color w:val="auto"/>
          <w:sz w:val="32"/>
          <w:szCs w:val="32"/>
        </w:rPr>
        <w:t>（2）项目绩效管理财政支出运行提供及时、有效的信息。</w:t>
      </w:r>
    </w:p>
    <w:p>
      <w:pPr>
        <w:pStyle w:val="18"/>
        <w:spacing w:line="560" w:lineRule="exact"/>
        <w:ind w:firstLine="640" w:firstLineChars="200"/>
        <w:rPr>
          <w:rFonts w:eastAsia="方正仿宋_GBK" w:cs="方正仿宋_GBK"/>
          <w:color w:val="auto"/>
          <w:sz w:val="32"/>
          <w:szCs w:val="32"/>
        </w:rPr>
      </w:pPr>
      <w:r>
        <w:rPr>
          <w:rFonts w:eastAsia="仿宋_GB2312"/>
          <w:color w:val="auto"/>
          <w:sz w:val="32"/>
          <w:szCs w:val="32"/>
        </w:rPr>
        <w:t>综合来看，通过开展有效的财政支出绩效评价管理，</w:t>
      </w:r>
      <w:r>
        <w:rPr>
          <w:rFonts w:hint="eastAsia" w:eastAsia="仿宋_GB2312"/>
          <w:color w:val="auto"/>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2、绩效评价的对象</w:t>
      </w:r>
    </w:p>
    <w:p>
      <w:pPr>
        <w:spacing w:line="560" w:lineRule="exact"/>
        <w:ind w:firstLine="640" w:firstLineChars="200"/>
        <w:rPr>
          <w:rFonts w:ascii="仿宋_GB2312" w:hAnsi="仿宋_GB2312" w:eastAsia="仿宋_GB2312" w:cs="仿宋_GB2312"/>
          <w:color w:val="auto"/>
          <w:sz w:val="32"/>
          <w:szCs w:val="32"/>
        </w:rPr>
      </w:pPr>
      <w:r>
        <w:rPr>
          <w:rFonts w:hint="eastAsia" w:eastAsia="仿宋_GB2312"/>
          <w:color w:val="auto"/>
          <w:kern w:val="0"/>
          <w:sz w:val="32"/>
          <w:szCs w:val="32"/>
        </w:rPr>
        <w:t>基层工作</w:t>
      </w:r>
      <w:r>
        <w:rPr>
          <w:rFonts w:hint="eastAsia" w:ascii="仿宋_GB2312" w:hAnsi="仿宋_GB2312" w:eastAsia="仿宋_GB2312" w:cs="仿宋_GB2312"/>
          <w:color w:val="auto"/>
          <w:sz w:val="32"/>
          <w:szCs w:val="32"/>
        </w:rPr>
        <w:t>项目所包含的全部项目内容。</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3、绩效评价的范围</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本次评价从项目决策（包括绩效目标、决策过程）、项目管理（包括项目资金、项目实施）、项目产出（包括项目产出数量、产出质量、产出时效和产出成本）项目效益四个维度对</w:t>
      </w:r>
      <w:r>
        <w:rPr>
          <w:rFonts w:hint="eastAsia" w:eastAsia="仿宋_GB2312"/>
          <w:color w:val="auto"/>
          <w:kern w:val="0"/>
          <w:sz w:val="32"/>
          <w:szCs w:val="32"/>
        </w:rPr>
        <w:t>基层工作</w:t>
      </w:r>
      <w:r>
        <w:rPr>
          <w:rFonts w:hint="eastAsia" w:ascii="仿宋_GB2312" w:hAnsi="仿宋_GB2312" w:eastAsia="仿宋_GB2312" w:cs="仿宋_GB2312"/>
          <w:color w:val="auto"/>
          <w:sz w:val="32"/>
          <w:szCs w:val="32"/>
        </w:rPr>
        <w:t>项目进行评价，评价核心为专项资金的支出完成情况和效果。</w:t>
      </w:r>
    </w:p>
    <w:p>
      <w:pPr>
        <w:spacing w:line="560" w:lineRule="exact"/>
        <w:ind w:firstLine="643" w:firstLineChars="200"/>
        <w:rPr>
          <w:color w:val="auto"/>
        </w:rPr>
      </w:pPr>
      <w:r>
        <w:rPr>
          <w:rFonts w:eastAsia="楷体_GB2312"/>
          <w:b/>
          <w:bCs/>
          <w:color w:val="auto"/>
          <w:sz w:val="32"/>
          <w:szCs w:val="32"/>
        </w:rPr>
        <w:t>（二）绩效评价原则、评价指标体系（详情见表1）、评价方法、评价标准。</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1、绩效评价原则</w:t>
      </w:r>
    </w:p>
    <w:p>
      <w:pPr>
        <w:spacing w:line="560" w:lineRule="exact"/>
        <w:ind w:firstLine="640" w:firstLineChars="200"/>
        <w:rPr>
          <w:rFonts w:eastAsia="仿宋_GB2312"/>
          <w:color w:val="auto"/>
          <w:sz w:val="32"/>
          <w:szCs w:val="32"/>
        </w:rPr>
      </w:pPr>
      <w:r>
        <w:rPr>
          <w:rFonts w:eastAsia="仿宋_GB2312"/>
          <w:color w:val="auto"/>
          <w:sz w:val="32"/>
          <w:szCs w:val="32"/>
        </w:rPr>
        <w:t>本次项目绩效评价遵循以下基本原则：</w:t>
      </w:r>
    </w:p>
    <w:p>
      <w:pPr>
        <w:pStyle w:val="9"/>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（1）科学公正。绩效评价应当运用科学合理的方法，按照规范的程序，对项目绩效进行客观、公正的反映。</w:t>
      </w:r>
    </w:p>
    <w:p>
      <w:pPr>
        <w:pStyle w:val="9"/>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9"/>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（3）激励约束。绩效评价结果应与预算安排、政策调整、改进管理实质性挂钩，体现奖优罚劣和激励相容导向，有效要安排、低效要压减、无效要问责。</w:t>
      </w:r>
    </w:p>
    <w:p>
      <w:pPr>
        <w:pStyle w:val="9"/>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（4）公开透明。绩效评价结果应依法依规公开，并自觉接受社会监督。</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2、评价指标体系</w:t>
      </w:r>
    </w:p>
    <w:p>
      <w:pPr>
        <w:spacing w:line="560" w:lineRule="exact"/>
        <w:ind w:firstLine="708" w:firstLineChars="200"/>
        <w:rPr>
          <w:color w:val="auto"/>
          <w:spacing w:val="17"/>
          <w:sz w:val="32"/>
          <w:szCs w:val="32"/>
        </w:rPr>
      </w:pPr>
      <w:r>
        <w:rPr>
          <w:rFonts w:eastAsia="仿宋_GB2312"/>
          <w:color w:val="auto"/>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（1）确定评价指标</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（2）确定权重</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（3）确定指标标准值</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9"/>
        <w:spacing w:before="0" w:after="0" w:line="560" w:lineRule="exact"/>
        <w:ind w:firstLine="708" w:firstLineChars="200"/>
        <w:jc w:val="both"/>
        <w:rPr>
          <w:rFonts w:ascii="Times New Roman" w:hAnsi="Times New Roman" w:eastAsia="仿宋_GB2312"/>
          <w:b w:val="0"/>
          <w:bCs w:val="0"/>
          <w:color w:val="auto"/>
          <w:spacing w:val="17"/>
          <w:kern w:val="2"/>
        </w:rPr>
      </w:pPr>
      <w:r>
        <w:rPr>
          <w:rFonts w:ascii="Times New Roman" w:hAnsi="Times New Roman" w:eastAsia="仿宋_GB2312"/>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9"/>
        <w:widowControl w:val="0"/>
        <w:spacing w:before="0" w:after="0" w:line="560" w:lineRule="exact"/>
        <w:ind w:firstLine="708" w:firstLineChars="200"/>
        <w:jc w:val="both"/>
        <w:outlineLvl w:val="9"/>
        <w:rPr>
          <w:rFonts w:ascii="Times New Roman" w:hAnsi="Times New Roman" w:eastAsia="仿宋_GB2312"/>
          <w:b w:val="0"/>
          <w:bCs w:val="0"/>
          <w:color w:val="auto"/>
          <w:spacing w:val="17"/>
        </w:rPr>
      </w:pPr>
      <w:r>
        <w:rPr>
          <w:rFonts w:ascii="Times New Roman" w:hAnsi="Times New Roman" w:eastAsia="仿宋_GB2312"/>
          <w:b w:val="0"/>
          <w:bCs w:val="0"/>
          <w:color w:val="auto"/>
          <w:spacing w:val="17"/>
        </w:rPr>
        <w:t>具体评价指标体系详情见附件1</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3、绩效评价方法</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 xml:space="preserve">本次评价指标中，既有定性指标又有定量指标，各类指标因考核内容不同和客观标准不同存在较大差异，因此核定具体指标时采用了不同方法，具体评价方法如下： </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（1）比较法</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通过对绩效目标与实施效果、历史与当期情况，综合分析绩效目标实现程度。对</w:t>
      </w:r>
      <w:r>
        <w:rPr>
          <w:rFonts w:eastAsia="仿宋_GB2312"/>
          <w:color w:val="auto"/>
          <w:sz w:val="32"/>
          <w:szCs w:val="32"/>
        </w:rPr>
        <w:t>项目</w:t>
      </w:r>
      <w:r>
        <w:rPr>
          <w:rFonts w:eastAsia="仿宋_GB2312"/>
          <w:color w:val="auto"/>
          <w:spacing w:val="17"/>
          <w:sz w:val="32"/>
          <w:szCs w:val="32"/>
        </w:rPr>
        <w:t>最终验收情况与年度绩效目标对比、预算资金执行情况等相关因素进行比较。</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（2）因素分析法</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通过综合分析影响绩效目标实现、实施效果的内外因素，评价绩效目标实现程度。通过对</w:t>
      </w:r>
      <w:r>
        <w:rPr>
          <w:rFonts w:eastAsia="仿宋_GB2312"/>
          <w:color w:val="auto"/>
          <w:sz w:val="32"/>
          <w:szCs w:val="32"/>
        </w:rPr>
        <w:t>项目</w:t>
      </w:r>
      <w:r>
        <w:rPr>
          <w:rFonts w:eastAsia="仿宋_GB2312"/>
          <w:color w:val="auto"/>
          <w:spacing w:val="17"/>
          <w:sz w:val="32"/>
          <w:szCs w:val="32"/>
        </w:rPr>
        <w:t>的开展情况、项目产出数量、成本控制、资金拨付文件及自评报告等相关资料的收集和审核，综合分析各因素对绩效目标实现的影响。</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4、评价标准</w:t>
      </w:r>
    </w:p>
    <w:p>
      <w:pPr>
        <w:spacing w:line="560" w:lineRule="exact"/>
        <w:ind w:firstLine="708" w:firstLineChars="200"/>
        <w:rPr>
          <w:rFonts w:eastAsia="仿宋_GB2312"/>
          <w:color w:val="auto"/>
          <w:spacing w:val="17"/>
          <w:sz w:val="32"/>
          <w:szCs w:val="32"/>
        </w:rPr>
      </w:pPr>
      <w:r>
        <w:rPr>
          <w:rFonts w:hint="eastAsia" w:eastAsia="仿宋_GB2312"/>
          <w:color w:val="auto"/>
          <w:spacing w:val="17"/>
          <w:sz w:val="32"/>
          <w:szCs w:val="32"/>
        </w:rPr>
        <w:t>绩效评价标准通常包括计划标准、行业标准、历史标准等，用于对绩效指标完成情况进行比较、分析、评价。本次评价主要采用了计划标准。</w:t>
      </w:r>
    </w:p>
    <w:p>
      <w:pPr>
        <w:spacing w:line="560" w:lineRule="exact"/>
        <w:ind w:firstLine="708" w:firstLineChars="200"/>
        <w:rPr>
          <w:rFonts w:eastAsia="仿宋_GB2312"/>
          <w:color w:val="auto"/>
          <w:spacing w:val="17"/>
          <w:sz w:val="32"/>
          <w:szCs w:val="32"/>
        </w:rPr>
      </w:pPr>
      <w:bookmarkStart w:id="0" w:name="_Toc17882"/>
      <w:bookmarkStart w:id="1" w:name="_Toc31464"/>
      <w:r>
        <w:rPr>
          <w:rFonts w:hint="eastAsia" w:eastAsia="仿宋_GB2312"/>
          <w:color w:val="auto"/>
          <w:spacing w:val="17"/>
          <w:sz w:val="32"/>
          <w:szCs w:val="32"/>
        </w:rPr>
        <w:t>计划标准：指以预先制定的目标、计划、预算、定额等作为评价标准。</w:t>
      </w:r>
      <w:bookmarkEnd w:id="0"/>
      <w:bookmarkEnd w:id="1"/>
    </w:p>
    <w:p>
      <w:pPr>
        <w:pStyle w:val="9"/>
        <w:numPr>
          <w:ilvl w:val="0"/>
          <w:numId w:val="3"/>
        </w:numPr>
        <w:spacing w:before="0" w:after="0" w:line="560" w:lineRule="exact"/>
        <w:ind w:firstLine="711" w:firstLineChars="200"/>
        <w:jc w:val="both"/>
        <w:rPr>
          <w:rFonts w:ascii="楷体" w:hAnsi="楷体" w:eastAsia="楷体" w:cs="楷体"/>
          <w:color w:val="auto"/>
          <w:spacing w:val="17"/>
        </w:rPr>
      </w:pPr>
      <w:r>
        <w:rPr>
          <w:rFonts w:hint="eastAsia" w:ascii="楷体" w:hAnsi="楷体" w:eastAsia="楷体" w:cs="楷体"/>
          <w:color w:val="auto"/>
          <w:spacing w:val="17"/>
        </w:rPr>
        <w:t>绩效评价工作过程</w:t>
      </w:r>
    </w:p>
    <w:p>
      <w:pPr>
        <w:spacing w:line="560" w:lineRule="exact"/>
        <w:ind w:firstLine="640" w:firstLineChars="200"/>
        <w:rPr>
          <w:rFonts w:eastAsia="仿宋_GB2312"/>
          <w:bCs/>
          <w:color w:val="auto"/>
          <w:sz w:val="32"/>
          <w:szCs w:val="32"/>
        </w:rPr>
      </w:pPr>
      <w:r>
        <w:rPr>
          <w:rFonts w:hint="eastAsia" w:eastAsia="仿宋_GB2312"/>
          <w:bCs/>
          <w:color w:val="auto"/>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rPr>
          <w:rFonts w:eastAsia="仿宋_GB2312"/>
          <w:bCs/>
          <w:color w:val="auto"/>
          <w:sz w:val="32"/>
          <w:szCs w:val="32"/>
        </w:rPr>
      </w:pPr>
      <w:r>
        <w:rPr>
          <w:rFonts w:hint="eastAsia" w:eastAsia="仿宋_GB2312"/>
          <w:bCs/>
          <w:color w:val="auto"/>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rPr>
          <w:color w:val="auto"/>
          <w:sz w:val="32"/>
          <w:szCs w:val="32"/>
        </w:rPr>
      </w:pPr>
      <w:r>
        <w:rPr>
          <w:rFonts w:hint="eastAsia" w:eastAsia="仿宋_GB2312"/>
          <w:bCs/>
          <w:color w:val="auto"/>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color w:val="auto"/>
          <w:sz w:val="32"/>
          <w:szCs w:val="32"/>
        </w:rPr>
      </w:pPr>
      <w:r>
        <w:rPr>
          <w:rFonts w:eastAsia="黑体"/>
          <w:color w:val="auto"/>
          <w:sz w:val="32"/>
          <w:szCs w:val="32"/>
        </w:rPr>
        <w:t>综合评价情况及评价结论（附相关评分表）</w:t>
      </w:r>
    </w:p>
    <w:p>
      <w:pPr>
        <w:pStyle w:val="9"/>
        <w:spacing w:before="0" w:after="0" w:line="560" w:lineRule="exact"/>
        <w:ind w:firstLine="643" w:firstLineChars="200"/>
        <w:jc w:val="both"/>
        <w:rPr>
          <w:rFonts w:ascii="Times New Roman" w:hAnsi="Times New Roman" w:eastAsia="楷体_GB2312"/>
          <w:color w:val="auto"/>
        </w:rPr>
      </w:pPr>
      <w:r>
        <w:rPr>
          <w:rFonts w:hint="eastAsia" w:ascii="Times New Roman" w:hAnsi="Times New Roman" w:eastAsia="楷体_GB2312"/>
          <w:color w:val="auto"/>
        </w:rPr>
        <w:t>（一）评价情况</w:t>
      </w:r>
    </w:p>
    <w:p>
      <w:pPr>
        <w:spacing w:line="600" w:lineRule="exact"/>
        <w:ind w:firstLine="640" w:firstLineChars="200"/>
        <w:outlineLvl w:val="0"/>
        <w:rPr>
          <w:rFonts w:eastAsia="仿宋_GB2312"/>
          <w:color w:val="auto"/>
          <w:kern w:val="28"/>
          <w:sz w:val="32"/>
          <w:szCs w:val="32"/>
        </w:rPr>
      </w:pPr>
      <w:r>
        <w:rPr>
          <w:rFonts w:hint="eastAsia" w:eastAsia="仿宋_GB2312"/>
          <w:color w:val="auto"/>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9"/>
        <w:spacing w:before="0" w:after="0" w:line="560" w:lineRule="exact"/>
        <w:ind w:firstLine="643" w:firstLineChars="200"/>
        <w:jc w:val="both"/>
        <w:rPr>
          <w:rFonts w:ascii="Times New Roman" w:hAnsi="Times New Roman" w:eastAsia="楷体_GB2312"/>
          <w:color w:val="auto"/>
        </w:rPr>
      </w:pPr>
      <w:r>
        <w:rPr>
          <w:rFonts w:hint="eastAsia" w:ascii="Times New Roman" w:hAnsi="Times New Roman" w:eastAsia="楷体_GB2312"/>
          <w:color w:val="auto"/>
        </w:rPr>
        <w:t>（二）评价结论</w:t>
      </w:r>
    </w:p>
    <w:p>
      <w:pPr>
        <w:pStyle w:val="9"/>
        <w:widowControl w:val="0"/>
        <w:spacing w:before="0" w:after="0" w:line="560" w:lineRule="exact"/>
        <w:ind w:firstLine="640" w:firstLineChars="200"/>
        <w:jc w:val="both"/>
        <w:outlineLvl w:val="9"/>
        <w:rPr>
          <w:rFonts w:ascii="Times New Roman" w:hAnsi="Times New Roman" w:eastAsia="仿宋_GB2312"/>
          <w:b w:val="0"/>
          <w:bCs w:val="0"/>
          <w:color w:val="auto"/>
        </w:rPr>
      </w:pPr>
      <w:r>
        <w:rPr>
          <w:rFonts w:hint="eastAsia" w:ascii="Times New Roman" w:hAnsi="Times New Roman" w:eastAsia="仿宋_GB2312"/>
          <w:b w:val="0"/>
          <w:bCs w:val="0"/>
          <w:color w:val="auto"/>
        </w:rPr>
        <w:t xml:space="preserve">运用绩效评价组制定的评价指标体系以及财政部《项目支出绩效评价管理办法》评分标准，通过数据采集、问卷调查及访谈等方式，对本项目进行客观评价，最终评分结果：总得分为 </w:t>
      </w:r>
      <w:r>
        <w:rPr>
          <w:rFonts w:ascii="Times New Roman" w:hAnsi="Times New Roman" w:eastAsia="仿宋_GB2312"/>
          <w:b w:val="0"/>
          <w:bCs w:val="0"/>
          <w:color w:val="auto"/>
        </w:rPr>
        <w:t>95.57</w:t>
      </w:r>
      <w:r>
        <w:rPr>
          <w:rFonts w:hint="eastAsia" w:ascii="Times New Roman" w:hAnsi="Times New Roman" w:eastAsia="仿宋_GB2312"/>
          <w:b w:val="0"/>
          <w:bCs w:val="0"/>
          <w:color w:val="auto"/>
        </w:rPr>
        <w:t xml:space="preserve">分，属于“优”。其中，项目决策类指标权重为20分，得分为 </w:t>
      </w:r>
      <w:r>
        <w:rPr>
          <w:rFonts w:ascii="Times New Roman" w:hAnsi="Times New Roman" w:eastAsia="仿宋_GB2312"/>
          <w:b w:val="0"/>
          <w:bCs w:val="0"/>
          <w:color w:val="auto"/>
        </w:rPr>
        <w:t>20</w:t>
      </w:r>
      <w:r>
        <w:rPr>
          <w:rFonts w:hint="eastAsia" w:ascii="Times New Roman" w:hAnsi="Times New Roman" w:eastAsia="仿宋_GB2312"/>
          <w:b w:val="0"/>
          <w:bCs w:val="0"/>
          <w:color w:val="auto"/>
        </w:rPr>
        <w:t xml:space="preserve">分，得分率为 </w:t>
      </w:r>
      <w:r>
        <w:rPr>
          <w:rFonts w:ascii="Times New Roman" w:hAnsi="Times New Roman" w:eastAsia="仿宋_GB2312"/>
          <w:b w:val="0"/>
          <w:bCs w:val="0"/>
          <w:color w:val="auto"/>
        </w:rPr>
        <w:t>100</w:t>
      </w:r>
      <w:r>
        <w:rPr>
          <w:rFonts w:hint="eastAsia" w:ascii="Times New Roman" w:hAnsi="Times New Roman" w:eastAsia="仿宋_GB2312"/>
          <w:b w:val="0"/>
          <w:bCs w:val="0"/>
          <w:color w:val="auto"/>
        </w:rPr>
        <w:t>%。项目过程类指标权重为20分，得分为</w:t>
      </w:r>
      <w:r>
        <w:rPr>
          <w:rFonts w:ascii="Times New Roman" w:hAnsi="Times New Roman" w:eastAsia="仿宋_GB2312"/>
          <w:b w:val="0"/>
          <w:bCs w:val="0"/>
          <w:color w:val="auto"/>
        </w:rPr>
        <w:t>20</w:t>
      </w:r>
      <w:r>
        <w:rPr>
          <w:rFonts w:hint="eastAsia" w:ascii="Times New Roman" w:hAnsi="Times New Roman" w:eastAsia="仿宋_GB2312"/>
          <w:b w:val="0"/>
          <w:bCs w:val="0"/>
          <w:color w:val="auto"/>
        </w:rPr>
        <w:t>分，得分率为</w:t>
      </w:r>
      <w:r>
        <w:rPr>
          <w:rFonts w:ascii="Times New Roman" w:hAnsi="Times New Roman" w:eastAsia="仿宋_GB2312"/>
          <w:b w:val="0"/>
          <w:bCs w:val="0"/>
          <w:color w:val="auto"/>
        </w:rPr>
        <w:t>100</w:t>
      </w:r>
      <w:r>
        <w:rPr>
          <w:rFonts w:hint="eastAsia" w:ascii="Times New Roman" w:hAnsi="Times New Roman" w:eastAsia="仿宋_GB2312"/>
          <w:b w:val="0"/>
          <w:bCs w:val="0"/>
          <w:color w:val="auto"/>
        </w:rPr>
        <w:t>%。项目产出类指标权重为40分，得分为</w:t>
      </w:r>
      <w:r>
        <w:rPr>
          <w:rFonts w:ascii="Times New Roman" w:hAnsi="Times New Roman" w:eastAsia="仿宋_GB2312"/>
          <w:b w:val="0"/>
          <w:bCs w:val="0"/>
          <w:color w:val="auto"/>
        </w:rPr>
        <w:t>35.57</w:t>
      </w:r>
      <w:r>
        <w:rPr>
          <w:rFonts w:hint="eastAsia" w:ascii="Times New Roman" w:hAnsi="Times New Roman" w:eastAsia="仿宋_GB2312"/>
          <w:b w:val="0"/>
          <w:bCs w:val="0"/>
          <w:color w:val="auto"/>
        </w:rPr>
        <w:t>分，得分率为8.93%。项目效益类指标权重为20分，得分为</w:t>
      </w:r>
      <w:r>
        <w:rPr>
          <w:rFonts w:ascii="Times New Roman" w:hAnsi="Times New Roman" w:eastAsia="仿宋_GB2312"/>
          <w:b w:val="0"/>
          <w:bCs w:val="0"/>
          <w:color w:val="auto"/>
        </w:rPr>
        <w:t>20</w:t>
      </w:r>
      <w:r>
        <w:rPr>
          <w:rFonts w:hint="eastAsia" w:ascii="Times New Roman" w:hAnsi="Times New Roman" w:eastAsia="仿宋_GB2312"/>
          <w:b w:val="0"/>
          <w:bCs w:val="0"/>
          <w:color w:val="auto"/>
        </w:rPr>
        <w:t>分，得分率为</w:t>
      </w:r>
      <w:r>
        <w:rPr>
          <w:rFonts w:ascii="Times New Roman" w:hAnsi="Times New Roman" w:eastAsia="仿宋_GB2312"/>
          <w:b w:val="0"/>
          <w:bCs w:val="0"/>
          <w:color w:val="auto"/>
        </w:rPr>
        <w:t>100</w:t>
      </w:r>
      <w:r>
        <w:rPr>
          <w:rFonts w:hint="eastAsia" w:ascii="Times New Roman" w:hAnsi="Times New Roman" w:eastAsia="仿宋_GB2312"/>
          <w:b w:val="0"/>
          <w:bCs w:val="0"/>
          <w:color w:val="auto"/>
        </w:rPr>
        <w:t>%。具体打分情况详见：附件1综合评分表。</w:t>
      </w:r>
    </w:p>
    <w:p>
      <w:pPr>
        <w:pStyle w:val="9"/>
        <w:spacing w:before="0" w:after="0"/>
        <w:rPr>
          <w:rFonts w:ascii="Times New Roman" w:hAnsi="Times New Roman" w:eastAsia="仿宋_GB2312"/>
          <w:color w:val="auto"/>
          <w:sz w:val="30"/>
          <w:szCs w:val="30"/>
        </w:rPr>
      </w:pPr>
      <w:r>
        <w:rPr>
          <w:rFonts w:ascii="Times New Roman" w:hAnsi="Times New Roman" w:eastAsia="仿宋_GB2312"/>
          <w:color w:val="auto"/>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35.57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auto"/>
                <w:sz w:val="22"/>
              </w:rPr>
            </w:pPr>
            <w:r>
              <w:rPr>
                <w:rFonts w:hint="eastAsia"/>
                <w:b/>
                <w:bCs/>
                <w:color w:val="auto"/>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b/>
                <w:bCs/>
                <w:color w:val="auto"/>
                <w:sz w:val="22"/>
              </w:rPr>
            </w:pPr>
            <w:r>
              <w:rPr>
                <w:rFonts w:hint="eastAsia"/>
                <w:b/>
                <w:bCs/>
                <w:color w:val="auto"/>
                <w:sz w:val="22"/>
              </w:rPr>
              <w:t>95.57</w:t>
            </w:r>
          </w:p>
        </w:tc>
      </w:tr>
    </w:tbl>
    <w:p>
      <w:pPr>
        <w:spacing w:line="560" w:lineRule="exact"/>
        <w:ind w:firstLine="640" w:firstLineChars="200"/>
        <w:rPr>
          <w:rFonts w:eastAsia="黑体"/>
          <w:color w:val="auto"/>
          <w:sz w:val="32"/>
          <w:szCs w:val="32"/>
        </w:rPr>
      </w:pPr>
      <w:r>
        <w:rPr>
          <w:rFonts w:eastAsia="黑体"/>
          <w:color w:val="auto"/>
          <w:sz w:val="32"/>
          <w:szCs w:val="32"/>
        </w:rPr>
        <w:t>四、绩效评价指标分析</w:t>
      </w:r>
    </w:p>
    <w:p>
      <w:pPr>
        <w:pStyle w:val="9"/>
        <w:spacing w:before="0" w:after="0" w:line="560" w:lineRule="exact"/>
        <w:ind w:firstLine="643" w:firstLineChars="200"/>
        <w:jc w:val="both"/>
        <w:rPr>
          <w:rFonts w:ascii="Times New Roman" w:hAnsi="Times New Roman" w:eastAsia="楷体_GB2312"/>
          <w:color w:val="auto"/>
        </w:rPr>
      </w:pPr>
      <w:r>
        <w:rPr>
          <w:rFonts w:ascii="Times New Roman" w:hAnsi="Times New Roman" w:eastAsia="楷体_GB2312"/>
          <w:color w:val="auto"/>
        </w:rPr>
        <w:t>（一）项目决策情况</w:t>
      </w:r>
    </w:p>
    <w:p>
      <w:pPr>
        <w:spacing w:line="600" w:lineRule="exact"/>
        <w:ind w:firstLine="600" w:firstLineChars="200"/>
        <w:outlineLvl w:val="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项目决策类指标包括项目立项、绩效目标和资金投入三方面的内容，由6个三级指标构成，权重分值为20分，实际得分</w:t>
      </w:r>
      <w:r>
        <w:rPr>
          <w:rFonts w:ascii="仿宋_GB2312" w:hAnsi="仿宋_GB2312" w:eastAsia="仿宋_GB2312" w:cs="仿宋_GB2312"/>
          <w:color w:val="auto"/>
          <w:sz w:val="30"/>
          <w:szCs w:val="30"/>
        </w:rPr>
        <w:t>20</w:t>
      </w:r>
      <w:r>
        <w:rPr>
          <w:rFonts w:hint="eastAsia" w:ascii="仿宋_GB2312" w:hAnsi="仿宋_GB2312" w:eastAsia="仿宋_GB2312" w:cs="仿宋_GB2312"/>
          <w:color w:val="auto"/>
          <w:sz w:val="30"/>
          <w:szCs w:val="30"/>
        </w:rPr>
        <w:t>分，得分率为</w:t>
      </w:r>
      <w:r>
        <w:rPr>
          <w:rFonts w:ascii="仿宋_GB2312" w:hAnsi="仿宋_GB2312" w:eastAsia="仿宋_GB2312" w:cs="仿宋_GB2312"/>
          <w:color w:val="auto"/>
          <w:sz w:val="30"/>
          <w:szCs w:val="30"/>
        </w:rPr>
        <w:t>100</w:t>
      </w:r>
      <w:r>
        <w:rPr>
          <w:rFonts w:hint="eastAsia" w:ascii="仿宋_GB2312" w:hAnsi="仿宋_GB2312" w:eastAsia="仿宋_GB2312" w:cs="仿宋_GB2312"/>
          <w:color w:val="auto"/>
          <w:sz w:val="30"/>
          <w:szCs w:val="30"/>
        </w:rPr>
        <w:t>%。</w:t>
      </w:r>
    </w:p>
    <w:p>
      <w:pPr>
        <w:pStyle w:val="18"/>
        <w:spacing w:line="560" w:lineRule="exact"/>
        <w:ind w:firstLine="64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1.项目立项</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（1）立项依据充分性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（2）立项程序规范性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18"/>
        <w:spacing w:line="560" w:lineRule="exact"/>
        <w:ind w:firstLine="64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2.绩效目标</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（1）绩效目标合理性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（2）绩效指标明确性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项目设置了明确的预期产出效益和效果，将绩效目标细化分解为具体的绩效指标，绩效目标与项目目标任务数相对应，绩效目标设定的绩效指标清晰、细化、可衡量。</w:t>
      </w:r>
    </w:p>
    <w:p>
      <w:pPr>
        <w:pStyle w:val="18"/>
        <w:spacing w:line="560" w:lineRule="exact"/>
        <w:ind w:firstLine="64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3.资金投入</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（1）预算编制科学性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（2）资金分配合理性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资金分配额度与项目单位实际工作内容相适应，资金分配额度合理，资金分配依据充分。</w:t>
      </w:r>
    </w:p>
    <w:p>
      <w:pPr>
        <w:pStyle w:val="9"/>
        <w:numPr>
          <w:ilvl w:val="0"/>
          <w:numId w:val="5"/>
        </w:numPr>
        <w:spacing w:before="0" w:after="0" w:line="560" w:lineRule="exact"/>
        <w:ind w:firstLine="643" w:firstLineChars="200"/>
        <w:jc w:val="both"/>
        <w:rPr>
          <w:rFonts w:ascii="楷体" w:hAnsi="楷体" w:eastAsia="楷体" w:cs="楷体"/>
          <w:color w:val="auto"/>
        </w:rPr>
      </w:pPr>
      <w:r>
        <w:rPr>
          <w:rFonts w:hint="eastAsia" w:ascii="楷体" w:hAnsi="楷体" w:eastAsia="楷体" w:cs="楷体"/>
          <w:color w:val="auto"/>
        </w:rPr>
        <w:t>项目过程情况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项目过程类指标包括资金管理和组织实施两方面的内容，由5个三级指标构成，权重分值为20分，实际得分</w:t>
      </w:r>
      <w:r>
        <w:rPr>
          <w:rFonts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rPr>
        <w:t>分，得分率为</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spacing w:line="560" w:lineRule="exact"/>
        <w:ind w:firstLine="64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1.资金管理</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（1）资金到位率</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本项目总投资30.69.00万元，财政资金及时足额到位，到位率</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%，预算资金按计划进度执行。</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（2）预算执行率</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预算编制较为详细，项目资金支出总体能够按照预算执行，预算资金支出</w:t>
      </w:r>
      <w:r>
        <w:rPr>
          <w:rFonts w:ascii="仿宋_GB2312" w:hAnsi="仿宋_GB2312" w:eastAsia="仿宋_GB2312" w:cs="仿宋_GB2312"/>
          <w:color w:val="auto"/>
          <w:sz w:val="32"/>
          <w:szCs w:val="32"/>
        </w:rPr>
        <w:t>23.99</w:t>
      </w:r>
      <w:r>
        <w:rPr>
          <w:rFonts w:hint="eastAsia" w:ascii="仿宋_GB2312" w:hAnsi="仿宋_GB2312" w:eastAsia="仿宋_GB2312" w:cs="仿宋_GB2312"/>
          <w:color w:val="auto"/>
          <w:sz w:val="32"/>
          <w:szCs w:val="32"/>
        </w:rPr>
        <w:t>万元，预算执行率为</w:t>
      </w:r>
      <w:r>
        <w:rPr>
          <w:rFonts w:ascii="仿宋_GB2312" w:hAnsi="仿宋_GB2312" w:eastAsia="仿宋_GB2312" w:cs="仿宋_GB2312"/>
          <w:color w:val="auto"/>
          <w:sz w:val="32"/>
          <w:szCs w:val="32"/>
        </w:rPr>
        <w:t>78.17</w:t>
      </w:r>
      <w:r>
        <w:rPr>
          <w:rFonts w:hint="eastAsia" w:ascii="仿宋_GB2312" w:hAnsi="仿宋_GB2312" w:eastAsia="仿宋_GB2312" w:cs="仿宋_GB2312"/>
          <w:color w:val="auto"/>
          <w:sz w:val="32"/>
          <w:szCs w:val="32"/>
        </w:rPr>
        <w:t>%。</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（3）资金使用合规性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spacing w:line="560" w:lineRule="exact"/>
        <w:ind w:firstLine="64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2.组织实施</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（1）管理制度健全性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（2）制度执行有效性</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11"/>
        <w:numPr>
          <w:ilvl w:val="0"/>
          <w:numId w:val="5"/>
        </w:numPr>
        <w:spacing w:line="560" w:lineRule="exact"/>
        <w:ind w:firstLine="643"/>
        <w:rPr>
          <w:rFonts w:eastAsia="楷体_GB2312"/>
          <w:b/>
          <w:bCs/>
          <w:color w:val="auto"/>
          <w:sz w:val="32"/>
          <w:szCs w:val="32"/>
        </w:rPr>
      </w:pPr>
      <w:r>
        <w:rPr>
          <w:rFonts w:eastAsia="楷体_GB2312"/>
          <w:b/>
          <w:bCs/>
          <w:color w:val="auto"/>
          <w:sz w:val="32"/>
          <w:szCs w:val="32"/>
        </w:rPr>
        <w:t>项目产出</w:t>
      </w:r>
      <w:r>
        <w:rPr>
          <w:rFonts w:hint="eastAsia" w:eastAsia="楷体_GB2312"/>
          <w:b/>
          <w:bCs/>
          <w:color w:val="auto"/>
          <w:sz w:val="32"/>
          <w:szCs w:val="32"/>
        </w:rPr>
        <w:t>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项目产出类指标包括产出数量、产出质量、产出时效、产出成本四方面的内容，由4个三级指标构成，权重分为40分，实际得分</w:t>
      </w:r>
      <w:r>
        <w:rPr>
          <w:rFonts w:ascii="仿宋_GB2312" w:hAnsi="仿宋_GB2312" w:eastAsia="仿宋_GB2312" w:cs="仿宋_GB2312"/>
          <w:color w:val="auto"/>
          <w:sz w:val="32"/>
          <w:szCs w:val="32"/>
        </w:rPr>
        <w:t>35.53</w:t>
      </w:r>
      <w:r>
        <w:rPr>
          <w:rFonts w:hint="eastAsia" w:ascii="仿宋_GB2312" w:hAnsi="仿宋_GB2312" w:eastAsia="仿宋_GB2312" w:cs="仿宋_GB2312"/>
          <w:color w:val="auto"/>
          <w:sz w:val="32"/>
          <w:szCs w:val="32"/>
        </w:rPr>
        <w:t>分，得分率为</w:t>
      </w:r>
      <w:r>
        <w:rPr>
          <w:rFonts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rPr>
        <w:t>8.93%。具体产出指标完成情况如下：</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1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数量指标：</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指标1：为民办实事件数，指标值：≥5个，实际完成值：=5个，指标完成率100%。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指标2：慰问贫困及四老人员户数，指标值：≥</w:t>
      </w:r>
      <w:r>
        <w:rPr>
          <w:rFonts w:ascii="仿宋_GB2312" w:hAnsi="仿宋_GB2312" w:eastAsia="仿宋_GB2312" w:cs="仿宋_GB2312"/>
          <w:color w:val="auto"/>
          <w:sz w:val="32"/>
          <w:szCs w:val="32"/>
        </w:rPr>
        <w:t>100户</w:t>
      </w:r>
      <w:r>
        <w:rPr>
          <w:rFonts w:hint="eastAsia" w:ascii="仿宋_GB2312" w:hAnsi="仿宋_GB2312" w:eastAsia="仿宋_GB2312" w:cs="仿宋_GB2312"/>
          <w:color w:val="auto"/>
          <w:sz w:val="32"/>
          <w:szCs w:val="32"/>
        </w:rPr>
        <w:t>，实际完成值：=</w:t>
      </w:r>
      <w:r>
        <w:rPr>
          <w:rFonts w:ascii="仿宋_GB2312" w:hAnsi="仿宋_GB2312" w:eastAsia="仿宋_GB2312" w:cs="仿宋_GB2312"/>
          <w:color w:val="auto"/>
          <w:sz w:val="32"/>
          <w:szCs w:val="32"/>
        </w:rPr>
        <w:t>100户</w:t>
      </w:r>
      <w:r>
        <w:rPr>
          <w:rFonts w:hint="eastAsia" w:ascii="仿宋_GB2312" w:hAnsi="仿宋_GB2312" w:eastAsia="仿宋_GB2312" w:cs="仿宋_GB2312"/>
          <w:color w:val="auto"/>
          <w:sz w:val="32"/>
          <w:szCs w:val="32"/>
        </w:rPr>
        <w:t>，指标完成率100%。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：维修维护便民设施，指标值：≥5处，实际完成值：=</w:t>
      </w:r>
      <w:r>
        <w:rPr>
          <w:rFonts w:ascii="仿宋_GB2312" w:hAnsi="仿宋_GB2312" w:eastAsia="仿宋_GB2312" w:cs="仿宋_GB2312"/>
          <w:color w:val="auto"/>
          <w:sz w:val="32"/>
          <w:szCs w:val="32"/>
        </w:rPr>
        <w:t>5处</w:t>
      </w:r>
      <w:r>
        <w:rPr>
          <w:rFonts w:hint="eastAsia" w:ascii="仿宋_GB2312" w:hAnsi="仿宋_GB2312" w:eastAsia="仿宋_GB2312" w:cs="仿宋_GB2312"/>
          <w:color w:val="auto"/>
          <w:sz w:val="32"/>
          <w:szCs w:val="32"/>
        </w:rPr>
        <w:t>，指标完成率100%。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2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质量指标：</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指标1：走访慰问覆盖率，指标值：≥85%，实际完成值：=85%，指标完成率100%。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指标2：维修维护便民设施完成率，指标值：≥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%，实际完成值：=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3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③</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时效指标：</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指标1：走访慰问及时率，指标值：≥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%，实际完成值：=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指标2：维修维护便民设施及时率，指标值：≥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%，实际完成值：=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4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④</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成本指标：</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指标1：为民办实事工作经费，指标值：≤24万元，实际完成值：=19.99</w:t>
      </w:r>
      <w:r>
        <w:rPr>
          <w:rFonts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rPr>
        <w:t>，指标完成率83.30%。偏差原因：项目款项按合同约定支付，项目未结项前不能实现全额支付，导致偏离绩效目标值。</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指标2：基层工作经费，指标值：≤</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万元，实际完成值：=</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万元，指标完成率</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w:t>
      </w:r>
    </w:p>
    <w:p>
      <w:pPr>
        <w:pStyle w:val="11"/>
        <w:numPr>
          <w:ilvl w:val="0"/>
          <w:numId w:val="5"/>
        </w:numPr>
        <w:spacing w:line="560" w:lineRule="exact"/>
        <w:ind w:firstLine="643"/>
        <w:rPr>
          <w:rFonts w:eastAsia="楷体_GB2312"/>
          <w:b/>
          <w:bCs/>
          <w:color w:val="auto"/>
          <w:sz w:val="32"/>
          <w:szCs w:val="32"/>
        </w:rPr>
      </w:pPr>
      <w:r>
        <w:rPr>
          <w:rFonts w:hint="eastAsia" w:eastAsia="楷体_GB2312"/>
          <w:b/>
          <w:bCs/>
          <w:color w:val="auto"/>
          <w:sz w:val="32"/>
          <w:szCs w:val="32"/>
        </w:rPr>
        <w:t>项目效益情况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项目效益类指标包括项目实施效益和满意度两方面的内容，由2个三级指标构成，权重分为20分，实际得分</w:t>
      </w:r>
      <w:r>
        <w:rPr>
          <w:rFonts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rPr>
        <w:t>分，得分率为</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%。具体效益指标及满意度指标完成情况如下：</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1.实施效益</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 w:hAnsi="仿宋" w:eastAsia="仿宋" w:cs="仿宋_GB2312"/>
          <w:color w:val="auto"/>
          <w:sz w:val="32"/>
          <w:szCs w:val="32"/>
        </w:rPr>
        <w:t>①</w:t>
      </w:r>
      <w:r>
        <w:rPr>
          <w:rFonts w:hint="eastAsia" w:ascii="仿宋_GB2312" w:hAnsi="仿宋_GB2312" w:eastAsia="仿宋_GB2312" w:cs="仿宋_GB2312"/>
          <w:color w:val="auto"/>
          <w:sz w:val="32"/>
          <w:szCs w:val="32"/>
        </w:rPr>
        <w:t>社会效益指标：政策宣传知晓率，指标值：≥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%，实际完成值：=</w:t>
      </w:r>
      <w:r>
        <w:rPr>
          <w:rFonts w:ascii="仿宋_GB2312" w:hAnsi="仿宋_GB2312" w:eastAsia="仿宋_GB2312" w:cs="仿宋_GB2312"/>
          <w:color w:val="auto"/>
          <w:sz w:val="32"/>
          <w:szCs w:val="32"/>
        </w:rPr>
        <w:t>90</w:t>
      </w:r>
      <w:r>
        <w:rPr>
          <w:rFonts w:hint="eastAsia" w:ascii="仿宋_GB2312" w:hAnsi="仿宋_GB2312" w:eastAsia="仿宋_GB2312" w:cs="仿宋_GB2312"/>
          <w:color w:val="auto"/>
          <w:sz w:val="32"/>
          <w:szCs w:val="32"/>
        </w:rPr>
        <w:t>%，指标完成率100%。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 w:hAnsi="仿宋" w:eastAsia="仿宋" w:cs="仿宋_GB2312"/>
          <w:color w:val="auto"/>
          <w:sz w:val="32"/>
          <w:szCs w:val="32"/>
        </w:rPr>
        <w:t>②</w:t>
      </w:r>
      <w:r>
        <w:rPr>
          <w:rFonts w:hint="eastAsia" w:ascii="仿宋_GB2312" w:hAnsi="仿宋_GB2312" w:eastAsia="仿宋_GB2312" w:cs="仿宋_GB2312"/>
          <w:color w:val="auto"/>
          <w:sz w:val="32"/>
          <w:szCs w:val="32"/>
        </w:rPr>
        <w:t>可持续影响指标：村容村貌，指标值：持续提高，实际完成值：持续提高，指标完成率100%。</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2.满意度</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满意度指标：群众工作满意率，指标值：≥90%，实际完成值：=90%，指标完成率100%。</w:t>
      </w:r>
    </w:p>
    <w:p>
      <w:pPr>
        <w:spacing w:line="600" w:lineRule="exact"/>
        <w:ind w:firstLine="640" w:firstLineChars="200"/>
        <w:outlineLvl w:val="0"/>
        <w:rPr>
          <w:rFonts w:eastAsia="黑体"/>
          <w:color w:val="auto"/>
          <w:sz w:val="32"/>
          <w:szCs w:val="32"/>
        </w:rPr>
      </w:pPr>
      <w:r>
        <w:rPr>
          <w:rFonts w:hint="eastAsia" w:eastAsia="黑体"/>
          <w:color w:val="auto"/>
          <w:sz w:val="32"/>
          <w:szCs w:val="32"/>
        </w:rPr>
        <w:t>五、预算执行进度与绩效指标总体完成率偏差</w:t>
      </w:r>
    </w:p>
    <w:p>
      <w:pPr>
        <w:pStyle w:val="18"/>
        <w:spacing w:line="560" w:lineRule="exact"/>
        <w:ind w:firstLine="640"/>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基层工作经费项目年初预算30.69万元，全年预算30.69万元，实际支出23.99万元，预算执行率为78.17%，项目绩效指标总体完成率为96.54%，总体偏差率为18.37%，偏差原因受传染病影响，有些维修项目未全面完成，工程项目进度推进缓慢。项目资金支付按合同约定支付，存在尾款未支付，导致资金预算执行率低。改进措施：结合基层工作建立绩效工作考核制度，加大全局对全面实施预算绩效管理和绩效管理工作的学习力度，让“花钱必问效，无效必问责”的理念深入工作每个环节。</w:t>
      </w:r>
    </w:p>
    <w:p>
      <w:pPr>
        <w:spacing w:line="560" w:lineRule="exact"/>
        <w:ind w:firstLine="640" w:firstLineChars="200"/>
        <w:rPr>
          <w:rStyle w:val="17"/>
          <w:rFonts w:ascii="Times New Roman" w:hAnsi="Times New Roman" w:cs="Times New Roman"/>
          <w:color w:val="auto"/>
        </w:rPr>
      </w:pPr>
      <w:r>
        <w:rPr>
          <w:rFonts w:hint="eastAsia" w:eastAsia="黑体"/>
          <w:color w:val="auto"/>
          <w:sz w:val="32"/>
          <w:szCs w:val="32"/>
        </w:rPr>
        <w:t>六</w:t>
      </w:r>
      <w:r>
        <w:rPr>
          <w:rFonts w:eastAsia="黑体"/>
          <w:color w:val="auto"/>
          <w:sz w:val="32"/>
          <w:szCs w:val="32"/>
        </w:rPr>
        <w:t>、主要经验及做法、存在的问题及原因分析</w:t>
      </w:r>
    </w:p>
    <w:p>
      <w:pPr>
        <w:spacing w:line="560" w:lineRule="exact"/>
        <w:ind w:firstLine="627" w:firstLineChars="200"/>
        <w:rPr>
          <w:rFonts w:eastAsia="楷体"/>
          <w:b/>
          <w:color w:val="auto"/>
          <w:spacing w:val="-4"/>
          <w:sz w:val="32"/>
          <w:szCs w:val="32"/>
        </w:rPr>
      </w:pPr>
      <w:r>
        <w:rPr>
          <w:rFonts w:eastAsia="楷体"/>
          <w:b/>
          <w:color w:val="auto"/>
          <w:spacing w:val="-4"/>
          <w:sz w:val="32"/>
          <w:szCs w:val="32"/>
        </w:rPr>
        <w:t>（一）主要经验及做法</w:t>
      </w:r>
    </w:p>
    <w:p>
      <w:pPr>
        <w:spacing w:line="560" w:lineRule="exact"/>
        <w:ind w:firstLine="640" w:firstLineChars="200"/>
        <w:rPr>
          <w:rFonts w:eastAsia="仿宋_GB2312"/>
          <w:color w:val="auto"/>
          <w:sz w:val="32"/>
          <w:szCs w:val="32"/>
        </w:rPr>
      </w:pPr>
      <w:r>
        <w:rPr>
          <w:rFonts w:eastAsia="仿宋_GB2312"/>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pStyle w:val="9"/>
        <w:spacing w:before="0" w:after="0" w:line="560" w:lineRule="exact"/>
        <w:ind w:firstLine="640" w:firstLineChars="200"/>
        <w:jc w:val="left"/>
        <w:rPr>
          <w:rFonts w:ascii="Times New Roman" w:hAnsi="Times New Roman" w:eastAsia="仿宋_GB2312"/>
          <w:b w:val="0"/>
          <w:bCs w:val="0"/>
          <w:color w:val="auto"/>
          <w:kern w:val="2"/>
        </w:rPr>
      </w:pPr>
      <w:r>
        <w:rPr>
          <w:rFonts w:ascii="Times New Roman" w:hAnsi="Times New Roman" w:eastAsia="仿宋_GB2312"/>
          <w:b w:val="0"/>
          <w:bCs w:val="0"/>
          <w:color w:val="auto"/>
          <w:kern w:val="2"/>
        </w:rPr>
        <w:t>严格坚持先做事、后验收、再拨付的原则，基本杜绝了资金被挤占和挪用现象的发生，跟踪检查到位。财政、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eastAsia="楷体_GB2312"/>
          <w:b/>
          <w:bCs/>
          <w:color w:val="auto"/>
          <w:sz w:val="32"/>
          <w:szCs w:val="32"/>
        </w:rPr>
      </w:pPr>
      <w:r>
        <w:rPr>
          <w:rFonts w:eastAsia="楷体_GB2312"/>
          <w:b/>
          <w:bCs/>
          <w:color w:val="auto"/>
          <w:sz w:val="32"/>
          <w:szCs w:val="32"/>
        </w:rPr>
        <w:t>存在的问题及原因分析</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eastAsia="黑体"/>
          <w:color w:val="auto"/>
          <w:sz w:val="32"/>
          <w:szCs w:val="32"/>
        </w:rPr>
      </w:pPr>
      <w:r>
        <w:rPr>
          <w:rFonts w:hint="eastAsia" w:eastAsia="黑体"/>
          <w:color w:val="auto"/>
          <w:sz w:val="32"/>
          <w:szCs w:val="32"/>
        </w:rPr>
        <w:t>七、</w:t>
      </w:r>
      <w:r>
        <w:rPr>
          <w:rFonts w:eastAsia="黑体"/>
          <w:color w:val="auto"/>
          <w:sz w:val="32"/>
          <w:szCs w:val="32"/>
        </w:rPr>
        <w:t>有关建议</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1.多进行有关绩效管理工作方面的培训。积极组织第三方开展绩效管理工作培训，进一步夯实业务基础，提高我院绩效人员水平。</w:t>
      </w:r>
    </w:p>
    <w:p>
      <w:pPr>
        <w:spacing w:line="600" w:lineRule="exact"/>
        <w:ind w:firstLine="640" w:firstLineChars="200"/>
        <w:outlineLvl w:val="0"/>
        <w:rPr>
          <w:color w:val="auto"/>
          <w:sz w:val="22"/>
          <w:szCs w:val="28"/>
        </w:rPr>
      </w:pPr>
      <w:r>
        <w:rPr>
          <w:rFonts w:hint="eastAsia" w:ascii="仿宋_GB2312" w:hAnsi="仿宋_GB2312" w:eastAsia="仿宋_GB2312" w:cs="仿宋_GB2312"/>
          <w:color w:val="auto"/>
          <w:sz w:val="32"/>
          <w:szCs w:val="32"/>
        </w:rPr>
        <w:t>2.进一步完善项目评价过程中有关数据和资料的收集、整理、审核及分析。项目启动时同步做好档案的归纳与整理，及时整理、收集、汇总，健全档案资料。项目后续管理有待进一步加强和跟踪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rPr>
        <w:t>。</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color w:val="auto"/>
          <w:sz w:val="32"/>
          <w:szCs w:val="32"/>
        </w:rPr>
      </w:pPr>
      <w:r>
        <w:rPr>
          <w:rFonts w:hint="eastAsia" w:eastAsia="黑体"/>
          <w:color w:val="auto"/>
          <w:sz w:val="32"/>
          <w:szCs w:val="32"/>
        </w:rPr>
        <w:t>八、</w:t>
      </w:r>
      <w:r>
        <w:rPr>
          <w:rFonts w:eastAsia="黑体"/>
          <w:color w:val="auto"/>
          <w:sz w:val="32"/>
          <w:szCs w:val="32"/>
        </w:rPr>
        <w:t>其他需要说</w:t>
      </w:r>
      <w:bookmarkStart w:id="2" w:name="page8"/>
      <w:bookmarkEnd w:id="2"/>
      <w:r>
        <w:rPr>
          <w:rFonts w:eastAsia="黑体"/>
          <w:color w:val="auto"/>
          <w:sz w:val="32"/>
          <w:szCs w:val="32"/>
        </w:rPr>
        <w:t>明的问题</w:t>
      </w:r>
    </w:p>
    <w:p>
      <w:pPr>
        <w:pStyle w:val="12"/>
        <w:spacing w:after="0" w:line="560" w:lineRule="exact"/>
        <w:ind w:left="0" w:leftChars="0"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本项目无其他需说明的问题。</w:t>
      </w:r>
    </w:p>
    <w:p>
      <w:pPr>
        <w:pStyle w:val="12"/>
        <w:spacing w:after="0" w:line="560" w:lineRule="exact"/>
        <w:ind w:left="0" w:leftChars="0" w:firstLine="640"/>
        <w:rPr>
          <w:rFonts w:ascii="仿宋_GB2312" w:hAnsi="仿宋_GB2312" w:eastAsia="仿宋_GB2312" w:cs="仿宋_GB2312"/>
          <w:color w:val="auto"/>
          <w:sz w:val="32"/>
          <w:szCs w:val="32"/>
        </w:rPr>
      </w:pPr>
    </w:p>
    <w:p>
      <w:pPr>
        <w:pStyle w:val="12"/>
        <w:spacing w:after="0" w:line="560" w:lineRule="exact"/>
        <w:ind w:left="0" w:leftChars="0" w:firstLine="640"/>
        <w:rPr>
          <w:rFonts w:ascii="仿宋_GB2312" w:hAnsi="仿宋_GB2312" w:eastAsia="仿宋_GB2312" w:cs="仿宋_GB2312"/>
          <w:color w:val="auto"/>
          <w:sz w:val="32"/>
          <w:szCs w:val="32"/>
        </w:rPr>
      </w:pPr>
    </w:p>
    <w:p>
      <w:pPr>
        <w:pStyle w:val="12"/>
        <w:spacing w:after="0" w:line="560" w:lineRule="exact"/>
        <w:ind w:left="0" w:leftChars="0" w:firstLine="0" w:firstLineChars="0"/>
        <w:rPr>
          <w:rFonts w:ascii="仿宋_GB2312" w:hAnsi="仿宋_GB2312" w:eastAsia="仿宋_GB2312" w:cs="仿宋_GB2312"/>
          <w:color w:val="auto"/>
          <w:sz w:val="32"/>
          <w:szCs w:val="32"/>
        </w:rPr>
      </w:pPr>
    </w:p>
    <w:p>
      <w:pPr>
        <w:widowControl/>
        <w:jc w:val="center"/>
        <w:textAlignment w:val="center"/>
        <w:rPr>
          <w:rFonts w:eastAsia="方正小标宋简体"/>
          <w:b/>
          <w:color w:val="auto"/>
          <w:kern w:val="0"/>
          <w:sz w:val="32"/>
          <w:szCs w:val="32"/>
        </w:rPr>
        <w:sectPr>
          <w:pgSz w:w="11906" w:h="16838"/>
          <w:pgMar w:top="1440" w:right="1558" w:bottom="1440" w:left="1800" w:header="851" w:footer="992" w:gutter="0"/>
          <w:cols w:space="425" w:num="1"/>
          <w:docGrid w:type="lines" w:linePitch="312" w:charSpace="0"/>
        </w:sectPr>
      </w:pPr>
    </w:p>
    <w:tbl>
      <w:tblPr>
        <w:tblStyle w:val="13"/>
        <w:tblW w:w="10065" w:type="dxa"/>
        <w:tblInd w:w="93" w:type="dxa"/>
        <w:tblLayout w:type="fixed"/>
        <w:tblCellMar>
          <w:top w:w="0" w:type="dxa"/>
          <w:left w:w="108" w:type="dxa"/>
          <w:bottom w:w="0" w:type="dxa"/>
          <w:right w:w="108" w:type="dxa"/>
        </w:tblCellMar>
      </w:tblPr>
      <w:tblGrid>
        <w:gridCol w:w="905"/>
        <w:gridCol w:w="795"/>
        <w:gridCol w:w="1352"/>
        <w:gridCol w:w="250"/>
        <w:gridCol w:w="1099"/>
        <w:gridCol w:w="905"/>
        <w:gridCol w:w="759"/>
        <w:gridCol w:w="1025"/>
        <w:gridCol w:w="262"/>
        <w:gridCol w:w="513"/>
        <w:gridCol w:w="187"/>
        <w:gridCol w:w="647"/>
        <w:gridCol w:w="66"/>
        <w:gridCol w:w="1300"/>
      </w:tblGrid>
      <w:tr>
        <w:tblPrEx>
          <w:tblCellMar>
            <w:top w:w="0" w:type="dxa"/>
            <w:left w:w="108" w:type="dxa"/>
            <w:bottom w:w="0" w:type="dxa"/>
            <w:right w:w="108" w:type="dxa"/>
          </w:tblCellMar>
        </w:tblPrEx>
        <w:trPr>
          <w:trHeight w:val="405" w:hRule="atLeast"/>
        </w:trPr>
        <w:tc>
          <w:tcPr>
            <w:tcW w:w="10065" w:type="dxa"/>
            <w:gridSpan w:val="14"/>
            <w:tcBorders>
              <w:top w:val="nil"/>
              <w:left w:val="nil"/>
              <w:bottom w:val="nil"/>
              <w:right w:val="nil"/>
            </w:tcBorders>
            <w:shd w:val="clear" w:color="auto" w:fill="auto"/>
            <w:vAlign w:val="center"/>
          </w:tcPr>
          <w:p>
            <w:pPr>
              <w:widowControl/>
              <w:jc w:val="center"/>
              <w:textAlignment w:val="center"/>
              <w:rPr>
                <w:rFonts w:ascii="宋体" w:hAnsi="宋体" w:cs="宋体"/>
                <w:b/>
                <w:bCs/>
                <w:color w:val="auto"/>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270" w:hRule="atLeast"/>
        </w:trPr>
        <w:tc>
          <w:tcPr>
            <w:tcW w:w="10065" w:type="dxa"/>
            <w:gridSpan w:val="14"/>
            <w:tcBorders>
              <w:top w:val="nil"/>
              <w:left w:val="nil"/>
              <w:bottom w:val="nil"/>
              <w:right w:val="nil"/>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(2022年度)</w:t>
            </w:r>
          </w:p>
        </w:tc>
      </w:tr>
      <w:tr>
        <w:tblPrEx>
          <w:tblCellMar>
            <w:top w:w="0" w:type="dxa"/>
            <w:left w:w="108" w:type="dxa"/>
            <w:bottom w:w="0" w:type="dxa"/>
            <w:right w:w="108" w:type="dxa"/>
          </w:tblCellMar>
        </w:tblPrEx>
        <w:trPr>
          <w:trHeight w:val="270" w:hRule="atLeast"/>
        </w:trPr>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项目名称</w:t>
            </w:r>
          </w:p>
        </w:tc>
        <w:tc>
          <w:tcPr>
            <w:tcW w:w="83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驻村工作经费</w:t>
            </w:r>
          </w:p>
        </w:tc>
      </w:tr>
      <w:tr>
        <w:tblPrEx>
          <w:tblCellMar>
            <w:top w:w="0" w:type="dxa"/>
            <w:left w:w="108" w:type="dxa"/>
            <w:bottom w:w="0" w:type="dxa"/>
            <w:right w:w="108" w:type="dxa"/>
          </w:tblCellMar>
        </w:tblPrEx>
        <w:trPr>
          <w:trHeight w:val="270" w:hRule="atLeast"/>
        </w:trPr>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主管部门</w:t>
            </w:r>
          </w:p>
        </w:tc>
        <w:tc>
          <w:tcPr>
            <w:tcW w:w="43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哈密市中级人民法院</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实施单位</w:t>
            </w:r>
          </w:p>
        </w:tc>
        <w:tc>
          <w:tcPr>
            <w:tcW w:w="2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哈密市中级人民法院</w:t>
            </w:r>
          </w:p>
        </w:tc>
      </w:tr>
      <w:tr>
        <w:tblPrEx>
          <w:tblCellMar>
            <w:top w:w="0" w:type="dxa"/>
            <w:left w:w="108" w:type="dxa"/>
            <w:bottom w:w="0" w:type="dxa"/>
            <w:right w:w="108" w:type="dxa"/>
          </w:tblCellMar>
        </w:tblPrEx>
        <w:trPr>
          <w:trHeight w:val="270" w:hRule="atLeast"/>
        </w:trPr>
        <w:tc>
          <w:tcPr>
            <w:tcW w:w="17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项目资金</w:t>
            </w:r>
            <w:r>
              <w:rPr>
                <w:rFonts w:hint="eastAsia" w:ascii="宋体" w:hAnsi="宋体" w:cs="宋体"/>
                <w:color w:val="auto"/>
                <w:kern w:val="0"/>
                <w:sz w:val="20"/>
                <w:szCs w:val="20"/>
              </w:rPr>
              <w:br w:type="textWrapping"/>
            </w:r>
            <w:r>
              <w:rPr>
                <w:rFonts w:hint="eastAsia" w:ascii="宋体" w:hAnsi="宋体" w:cs="宋体"/>
                <w:color w:val="auto"/>
                <w:kern w:val="0"/>
                <w:sz w:val="20"/>
                <w:szCs w:val="20"/>
              </w:rPr>
              <w:t>（万元）</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年初预算数</w:t>
            </w: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全年预算数</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全年执行数</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分值</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执行率</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得分</w:t>
            </w:r>
          </w:p>
        </w:tc>
      </w:tr>
      <w:tr>
        <w:tblPrEx>
          <w:tblCellMar>
            <w:top w:w="0" w:type="dxa"/>
            <w:left w:w="108" w:type="dxa"/>
            <w:bottom w:w="0" w:type="dxa"/>
            <w:right w:w="108" w:type="dxa"/>
          </w:tblCellMar>
        </w:tblPrEx>
        <w:trPr>
          <w:trHeight w:val="439" w:hRule="atLeast"/>
        </w:trPr>
        <w:tc>
          <w:tcPr>
            <w:tcW w:w="1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年度资金总额</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30.69</w:t>
            </w: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30.69</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23.99</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78.17%</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7.82分</w:t>
            </w:r>
          </w:p>
        </w:tc>
      </w:tr>
      <w:tr>
        <w:tblPrEx>
          <w:tblCellMar>
            <w:top w:w="0" w:type="dxa"/>
            <w:left w:w="108" w:type="dxa"/>
            <w:bottom w:w="0" w:type="dxa"/>
            <w:right w:w="108" w:type="dxa"/>
          </w:tblCellMar>
        </w:tblPrEx>
        <w:trPr>
          <w:trHeight w:val="1182" w:hRule="atLeast"/>
        </w:trPr>
        <w:tc>
          <w:tcPr>
            <w:tcW w:w="1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其中：当年财政拨款</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 xml:space="preserve">30.69.00 </w:t>
            </w: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 xml:space="preserve">30.69.00 </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21.37</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r>
      <w:tr>
        <w:tblPrEx>
          <w:tblCellMar>
            <w:top w:w="0" w:type="dxa"/>
            <w:left w:w="108" w:type="dxa"/>
            <w:bottom w:w="0" w:type="dxa"/>
            <w:right w:w="108" w:type="dxa"/>
          </w:tblCellMar>
        </w:tblPrEx>
        <w:trPr>
          <w:trHeight w:val="439" w:hRule="atLeast"/>
        </w:trPr>
        <w:tc>
          <w:tcPr>
            <w:tcW w:w="1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 xml:space="preserve">      上年结转资金</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2.69</w:t>
            </w: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2.69</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2.62</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r>
      <w:tr>
        <w:tblPrEx>
          <w:tblCellMar>
            <w:top w:w="0" w:type="dxa"/>
            <w:left w:w="108" w:type="dxa"/>
            <w:bottom w:w="0" w:type="dxa"/>
            <w:right w:w="108" w:type="dxa"/>
          </w:tblCellMar>
        </w:tblPrEx>
        <w:trPr>
          <w:trHeight w:val="439" w:hRule="atLeast"/>
        </w:trPr>
        <w:tc>
          <w:tcPr>
            <w:tcW w:w="1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 xml:space="preserve">  其他资金</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0</w:t>
            </w: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0</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w:t>
            </w:r>
          </w:p>
        </w:tc>
      </w:tr>
      <w:tr>
        <w:tblPrEx>
          <w:tblCellMar>
            <w:top w:w="0" w:type="dxa"/>
            <w:left w:w="108" w:type="dxa"/>
            <w:bottom w:w="0" w:type="dxa"/>
            <w:right w:w="108" w:type="dxa"/>
          </w:tblCellMar>
        </w:tblPrEx>
        <w:trPr>
          <w:trHeight w:val="270" w:hRule="atLeast"/>
        </w:trPr>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年度总体目标</w:t>
            </w:r>
          </w:p>
        </w:tc>
        <w:tc>
          <w:tcPr>
            <w:tcW w:w="51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预期目标</w:t>
            </w:r>
          </w:p>
        </w:tc>
        <w:tc>
          <w:tcPr>
            <w:tcW w:w="40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实际完成情况</w:t>
            </w:r>
          </w:p>
        </w:tc>
      </w:tr>
      <w:tr>
        <w:tblPrEx>
          <w:tblCellMar>
            <w:top w:w="0" w:type="dxa"/>
            <w:left w:w="108" w:type="dxa"/>
            <w:bottom w:w="0" w:type="dxa"/>
            <w:right w:w="108" w:type="dxa"/>
          </w:tblCellMar>
        </w:tblPrEx>
        <w:trPr>
          <w:trHeight w:val="4962"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5160" w:type="dxa"/>
            <w:gridSpan w:val="6"/>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cs="宋体"/>
                <w:color w:val="auto"/>
                <w:sz w:val="20"/>
                <w:szCs w:val="20"/>
              </w:rPr>
            </w:pPr>
            <w:r>
              <w:rPr>
                <w:rFonts w:hint="eastAsia" w:ascii="宋体" w:hAnsi="宋体" w:cs="宋体"/>
                <w:color w:val="auto"/>
                <w:kern w:val="0"/>
                <w:sz w:val="20"/>
                <w:szCs w:val="20"/>
              </w:rPr>
              <w:t>2022年基层工作经费主要用于基层工作各项支出，共计30.69万元。一是常态化开展传染病防治工作。坚定不移落实常态化传染病防治各项措施，落实常态化传染病防治八项监测预警机制。二是坚持做好群众工作贯穿始终。认真开展走访工作，倾听群众意见建议，进一步摸清民情民意，以群众满意为目标，着眼于解决群众最关心、最直接、最现实的利益问题，尽力帮助解决实际困难，不断增进与群众的情感，拉近与群众的距离。做好党和政府各项方针政策的宣传工作，不断提高化解基层矛盾和做好群众工作能力。三是开展形式多样的宣传活动。采取多种形式组织开展各类贴近实际、贴近生活、贴近群众的活动，广泛宣传传染病防治和安全生产、防灾减灾相关知识，宣传党的各项惠民政策。四是开展突出隐患治理行动。一方面继续加大安全生产、防灾减灾和应急管理宣传活动，不断增强全村安全意识，另一方面持续开展安全隐患排查治理工作。五是大力实施环境卫生整治。发动干部群众持续开展爱国卫生运动，着力改善村民居住环境。</w:t>
            </w:r>
          </w:p>
        </w:tc>
        <w:tc>
          <w:tcPr>
            <w:tcW w:w="4000" w:type="dxa"/>
            <w:gridSpan w:val="7"/>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cs="宋体"/>
                <w:color w:val="auto"/>
                <w:sz w:val="20"/>
                <w:szCs w:val="20"/>
              </w:rPr>
            </w:pPr>
            <w:r>
              <w:rPr>
                <w:rFonts w:hint="eastAsia" w:ascii="宋体" w:hAnsi="宋体" w:cs="宋体"/>
                <w:color w:val="auto"/>
                <w:kern w:val="0"/>
                <w:sz w:val="20"/>
                <w:szCs w:val="20"/>
              </w:rPr>
              <w:t>一是按照年初项目计划，根据基层工作各项要求，扎实开展基层各项工作，全年走访230户，为民办实事件数6件，全年走访率85%，资金使用率78.17%。资金支付及时率达到85%，完成率100%，村民幸福指数明显提高，村容村貌有效提高。 二是践行群众路线深入开展调查研究，认真听取群众意见，在服务群众中以实际行动转作风、带作风、促作风，推动形成风清气正的良好环境； 三是积极协调落实各项惠民项目、为民办实事、修建便民设施、慰问生活困难群众、做好政策宣传、帮助村委会开展传染病防治等各项工作，充分发挥基层阵地作用。</w:t>
            </w:r>
          </w:p>
        </w:tc>
      </w:tr>
      <w:tr>
        <w:tblPrEx>
          <w:tblCellMar>
            <w:top w:w="0" w:type="dxa"/>
            <w:left w:w="108" w:type="dxa"/>
            <w:bottom w:w="0" w:type="dxa"/>
            <w:right w:w="108" w:type="dxa"/>
          </w:tblCellMar>
        </w:tblPrEx>
        <w:trPr>
          <w:trHeight w:val="559" w:hRule="atLeast"/>
        </w:trPr>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一级指标</w:t>
            </w: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二级指标</w:t>
            </w:r>
          </w:p>
        </w:tc>
        <w:tc>
          <w:tcPr>
            <w:tcW w:w="225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三级指标</w:t>
            </w: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年度指标值</w:t>
            </w:r>
          </w:p>
        </w:tc>
        <w:tc>
          <w:tcPr>
            <w:tcW w:w="12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实际完成值</w:t>
            </w:r>
          </w:p>
        </w:tc>
        <w:tc>
          <w:tcPr>
            <w:tcW w:w="7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分值</w:t>
            </w:r>
          </w:p>
        </w:tc>
        <w:tc>
          <w:tcPr>
            <w:tcW w:w="7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得分</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偏差原因分析及改进措施</w:t>
            </w:r>
          </w:p>
        </w:tc>
      </w:tr>
      <w:tr>
        <w:tblPrEx>
          <w:tblCellMar>
            <w:top w:w="0" w:type="dxa"/>
            <w:left w:w="108" w:type="dxa"/>
            <w:bottom w:w="0" w:type="dxa"/>
            <w:right w:w="108" w:type="dxa"/>
          </w:tblCellMar>
        </w:tblPrEx>
        <w:trPr>
          <w:trHeight w:val="312"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22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2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年度绩效指标完成情况</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产出指标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数量指标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为民办实事件数</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&gt;=5件</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5件</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数量指标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慰问贫困及四老人员户数</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&gt;=100户</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100户</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数量指标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维修维护便民设施</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&gt;=5处</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5处</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质量指标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走访慰问覆盖率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&gt;=85%</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85%</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质量指标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维修维护便民设施完成率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&gt;=90%</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90%</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时效指标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走访慰问及时率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&gt;=85%</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85%</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时效指标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维护维修便民设施及时率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&gt;=90%</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90%</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72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成本指标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为民办实事经费</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&lt;=2</w:t>
            </w:r>
            <w:r>
              <w:rPr>
                <w:rFonts w:hint="eastAsia" w:ascii="宋体" w:hAnsi="宋体" w:cs="宋体"/>
                <w:color w:val="auto"/>
                <w:kern w:val="0"/>
                <w:sz w:val="20"/>
                <w:szCs w:val="20"/>
                <w:lang w:val="en-US" w:eastAsia="zh-CN"/>
              </w:rPr>
              <w:t>4</w:t>
            </w:r>
            <w:r>
              <w:rPr>
                <w:rFonts w:hint="eastAsia" w:ascii="宋体" w:hAnsi="宋体" w:cs="宋体"/>
                <w:color w:val="auto"/>
                <w:kern w:val="0"/>
                <w:sz w:val="20"/>
                <w:szCs w:val="20"/>
              </w:rPr>
              <w:t>万元</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w:t>
            </w:r>
            <w:r>
              <w:rPr>
                <w:rFonts w:hint="eastAsia" w:ascii="宋体" w:hAnsi="宋体" w:cs="宋体"/>
                <w:color w:val="auto"/>
                <w:kern w:val="0"/>
                <w:sz w:val="20"/>
                <w:szCs w:val="20"/>
                <w:lang w:val="en-US" w:eastAsia="zh-CN"/>
              </w:rPr>
              <w:t>9.99</w:t>
            </w:r>
            <w:r>
              <w:rPr>
                <w:rFonts w:hint="eastAsia" w:ascii="宋体" w:hAnsi="宋体" w:cs="宋体"/>
                <w:color w:val="auto"/>
                <w:kern w:val="0"/>
                <w:sz w:val="20"/>
                <w:szCs w:val="20"/>
              </w:rPr>
              <w:t>万元</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rPr>
              <w:t>10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4.3</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成本指标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lang w:eastAsia="zh-CN"/>
              </w:rPr>
              <w:t>基层</w:t>
            </w:r>
            <w:r>
              <w:rPr>
                <w:rFonts w:hint="eastAsia" w:ascii="宋体" w:hAnsi="宋体" w:cs="宋体"/>
                <w:color w:val="auto"/>
                <w:kern w:val="0"/>
                <w:sz w:val="20"/>
                <w:szCs w:val="20"/>
              </w:rPr>
              <w:t>工作经费</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&lt;=4万元</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4万元</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48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效益指标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社会效益指标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政策宣传知晓率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&gt;=90%</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90%</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48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可持续影响指标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村容村貌</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持续提高</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持续提高</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满意度指标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满意度指标</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0"/>
                <w:szCs w:val="20"/>
              </w:rPr>
            </w:pPr>
            <w:r>
              <w:rPr>
                <w:rFonts w:hint="eastAsia" w:ascii="宋体" w:hAnsi="宋体" w:cs="宋体"/>
                <w:color w:val="auto"/>
                <w:kern w:val="0"/>
                <w:sz w:val="20"/>
                <w:szCs w:val="20"/>
              </w:rPr>
              <w:t>村民满意度</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&gt;=90%</w:t>
            </w:r>
          </w:p>
        </w:tc>
        <w:tc>
          <w:tcPr>
            <w:tcW w:w="1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90%</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r>
        <w:tblPrEx>
          <w:tblCellMar>
            <w:top w:w="0" w:type="dxa"/>
            <w:left w:w="108" w:type="dxa"/>
            <w:bottom w:w="0" w:type="dxa"/>
            <w:right w:w="108" w:type="dxa"/>
          </w:tblCellMar>
        </w:tblPrEx>
        <w:trPr>
          <w:trHeight w:val="270" w:hRule="atLeast"/>
        </w:trPr>
        <w:tc>
          <w:tcPr>
            <w:tcW w:w="73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总分</w:t>
            </w:r>
          </w:p>
        </w:tc>
        <w:tc>
          <w:tcPr>
            <w:tcW w:w="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95.57分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rPr>
            </w:pPr>
          </w:p>
        </w:tc>
      </w:tr>
    </w:tbl>
    <w:p>
      <w:pPr>
        <w:pStyle w:val="9"/>
        <w:jc w:val="both"/>
        <w:rPr>
          <w:rFonts w:ascii="Times New Roman" w:hAnsi="Times New Roman"/>
          <w:color w:val="auto"/>
        </w:rPr>
        <w:sectPr>
          <w:pgSz w:w="16838" w:h="11906" w:orient="landscape"/>
          <w:pgMar w:top="1800" w:right="1440" w:bottom="1558" w:left="1440" w:header="851" w:footer="992" w:gutter="0"/>
          <w:cols w:space="425" w:num="1"/>
          <w:docGrid w:type="lines" w:linePitch="312" w:charSpace="0"/>
        </w:sectPr>
      </w:pPr>
    </w:p>
    <w:p>
      <w:pPr>
        <w:spacing w:line="600" w:lineRule="exact"/>
        <w:rPr>
          <w:rFonts w:ascii="黑体" w:hAnsi="黑体" w:eastAsia="黑体" w:cs="黑体"/>
          <w:color w:val="auto"/>
        </w:rPr>
      </w:pPr>
      <w:r>
        <w:rPr>
          <w:rFonts w:hint="eastAsia" w:ascii="黑体" w:hAnsi="黑体" w:eastAsia="黑体" w:cs="黑体"/>
          <w:bCs/>
          <w:color w:val="auto"/>
          <w:sz w:val="32"/>
          <w:szCs w:val="32"/>
        </w:rPr>
        <w:t>附件1</w:t>
      </w:r>
    </w:p>
    <w:p>
      <w:pPr>
        <w:pStyle w:val="18"/>
        <w:ind w:firstLine="562"/>
        <w:jc w:val="center"/>
        <w:rPr>
          <w:color w:val="auto"/>
          <w:sz w:val="28"/>
          <w:szCs w:val="40"/>
        </w:rPr>
      </w:pPr>
      <w:bookmarkStart w:id="3" w:name="_Toc30064_WPSOffice_Level1"/>
      <w:bookmarkStart w:id="4" w:name="_Toc26499_WPSOffice_Level2"/>
      <w:r>
        <w:rPr>
          <w:rFonts w:hint="eastAsia"/>
          <w:b/>
          <w:bCs/>
          <w:color w:val="auto"/>
          <w:sz w:val="28"/>
          <w:szCs w:val="40"/>
        </w:rPr>
        <w:t>访惠聚驻村项目绩效评价指标体系及综合评分表</w:t>
      </w:r>
      <w:bookmarkEnd w:id="3"/>
      <w:bookmarkEnd w:id="4"/>
    </w:p>
    <w:tbl>
      <w:tblPr>
        <w:tblStyle w:val="1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3"/>
        <w:gridCol w:w="765"/>
        <w:gridCol w:w="873"/>
        <w:gridCol w:w="2354"/>
        <w:gridCol w:w="5197"/>
        <w:gridCol w:w="1299"/>
        <w:gridCol w:w="13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一级指标</w:t>
            </w:r>
          </w:p>
        </w:tc>
        <w:tc>
          <w:tcPr>
            <w:tcW w:w="765"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二级指标</w:t>
            </w:r>
          </w:p>
        </w:tc>
        <w:tc>
          <w:tcPr>
            <w:tcW w:w="87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三级指标</w:t>
            </w:r>
          </w:p>
        </w:tc>
        <w:tc>
          <w:tcPr>
            <w:tcW w:w="2354"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指标解释</w:t>
            </w:r>
          </w:p>
        </w:tc>
        <w:tc>
          <w:tcPr>
            <w:tcW w:w="5197"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指标说明</w:t>
            </w:r>
          </w:p>
        </w:tc>
        <w:tc>
          <w:tcPr>
            <w:tcW w:w="129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权重</w:t>
            </w:r>
          </w:p>
        </w:tc>
        <w:tc>
          <w:tcPr>
            <w:tcW w:w="1362"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3" w:type="dxa"/>
            <w:vMerge w:val="restart"/>
            <w:shd w:val="clear" w:color="auto" w:fill="FFFFFF"/>
            <w:vAlign w:val="center"/>
          </w:tcPr>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r>
              <w:rPr>
                <w:color w:val="auto"/>
                <w:kern w:val="0"/>
                <w:sz w:val="22"/>
                <w:szCs w:val="22"/>
              </w:rPr>
              <w:t>决策　</w:t>
            </w:r>
          </w:p>
        </w:tc>
        <w:tc>
          <w:tcPr>
            <w:tcW w:w="765"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项目立项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立项依据</w:t>
            </w:r>
          </w:p>
          <w:p>
            <w:pPr>
              <w:widowControl/>
              <w:spacing w:line="0" w:lineRule="atLeast"/>
              <w:jc w:val="center"/>
              <w:rPr>
                <w:color w:val="auto"/>
                <w:kern w:val="0"/>
                <w:sz w:val="22"/>
                <w:szCs w:val="22"/>
              </w:rPr>
            </w:pPr>
            <w:r>
              <w:rPr>
                <w:color w:val="auto"/>
                <w:kern w:val="0"/>
                <w:sz w:val="22"/>
                <w:szCs w:val="22"/>
              </w:rPr>
              <w:t>充分性</w:t>
            </w:r>
          </w:p>
        </w:tc>
        <w:tc>
          <w:tcPr>
            <w:tcW w:w="2354" w:type="dxa"/>
            <w:shd w:val="clear" w:color="auto" w:fill="FFFFFF"/>
            <w:vAlign w:val="center"/>
          </w:tcPr>
          <w:p>
            <w:pPr>
              <w:widowControl/>
              <w:spacing w:line="0" w:lineRule="atLeast"/>
              <w:rPr>
                <w:color w:val="auto"/>
                <w:kern w:val="0"/>
                <w:sz w:val="22"/>
                <w:szCs w:val="22"/>
              </w:rPr>
            </w:pPr>
            <w:r>
              <w:rPr>
                <w:color w:val="auto"/>
                <w:kern w:val="0"/>
                <w:sz w:val="22"/>
                <w:szCs w:val="22"/>
              </w:rPr>
              <w:t>项目立项是否符合法律法规、相关政策、发展规划以及部门职责，用以反映和考核项目立项依据情况。</w:t>
            </w:r>
          </w:p>
        </w:tc>
        <w:tc>
          <w:tcPr>
            <w:tcW w:w="5197"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①项目立项是否符合国家法律法规、国民经济发展规划和相关政策；</w:t>
            </w:r>
            <w:r>
              <w:rPr>
                <w:color w:val="auto"/>
                <w:kern w:val="0"/>
                <w:sz w:val="22"/>
                <w:szCs w:val="22"/>
              </w:rPr>
              <w:br w:type="textWrapping"/>
            </w:r>
            <w:r>
              <w:rPr>
                <w:color w:val="auto"/>
                <w:kern w:val="0"/>
                <w:sz w:val="22"/>
                <w:szCs w:val="22"/>
              </w:rPr>
              <w:t>②项目立项是否符合行业发展规划和政策要求；</w:t>
            </w:r>
            <w:r>
              <w:rPr>
                <w:color w:val="auto"/>
                <w:kern w:val="0"/>
                <w:sz w:val="22"/>
                <w:szCs w:val="22"/>
              </w:rPr>
              <w:br w:type="textWrapping"/>
            </w:r>
            <w:r>
              <w:rPr>
                <w:color w:val="auto"/>
                <w:kern w:val="0"/>
                <w:sz w:val="22"/>
                <w:szCs w:val="22"/>
              </w:rPr>
              <w:t>③项目立项是否与部门职责范围相符，属于部门履职所需；</w:t>
            </w:r>
            <w:r>
              <w:rPr>
                <w:color w:val="auto"/>
                <w:kern w:val="0"/>
                <w:sz w:val="22"/>
                <w:szCs w:val="22"/>
              </w:rPr>
              <w:br w:type="textWrapping"/>
            </w:r>
            <w:r>
              <w:rPr>
                <w:color w:val="auto"/>
                <w:kern w:val="0"/>
                <w:sz w:val="22"/>
                <w:szCs w:val="22"/>
              </w:rPr>
              <w:t>④项目是否属于公共财政支持范围，是否符合中央、地方事权支出责任划分原则；</w:t>
            </w:r>
            <w:r>
              <w:rPr>
                <w:color w:val="auto"/>
                <w:kern w:val="0"/>
                <w:sz w:val="22"/>
                <w:szCs w:val="22"/>
              </w:rPr>
              <w:br w:type="textWrapping"/>
            </w:r>
            <w:r>
              <w:rPr>
                <w:color w:val="auto"/>
                <w:kern w:val="0"/>
                <w:sz w:val="22"/>
                <w:szCs w:val="22"/>
              </w:rPr>
              <w:t>⑤项目是否与相关部门同类项目或部门内部相关项目重复。</w:t>
            </w:r>
          </w:p>
        </w:tc>
        <w:tc>
          <w:tcPr>
            <w:tcW w:w="129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2"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3" w:type="dxa"/>
            <w:vMerge w:val="continue"/>
            <w:shd w:val="clear" w:color="auto" w:fill="FFFFFF"/>
            <w:vAlign w:val="center"/>
          </w:tcPr>
          <w:p>
            <w:pPr>
              <w:spacing w:line="0" w:lineRule="atLeast"/>
              <w:jc w:val="center"/>
              <w:rPr>
                <w:color w:val="auto"/>
                <w:kern w:val="0"/>
                <w:sz w:val="22"/>
                <w:szCs w:val="22"/>
              </w:rPr>
            </w:pPr>
          </w:p>
        </w:tc>
        <w:tc>
          <w:tcPr>
            <w:tcW w:w="765"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立项程序</w:t>
            </w:r>
          </w:p>
          <w:p>
            <w:pPr>
              <w:widowControl/>
              <w:spacing w:line="0" w:lineRule="atLeast"/>
              <w:jc w:val="center"/>
              <w:rPr>
                <w:color w:val="auto"/>
                <w:kern w:val="0"/>
                <w:sz w:val="22"/>
                <w:szCs w:val="22"/>
              </w:rPr>
            </w:pPr>
            <w:r>
              <w:rPr>
                <w:color w:val="auto"/>
                <w:kern w:val="0"/>
                <w:sz w:val="22"/>
                <w:szCs w:val="22"/>
              </w:rPr>
              <w:t>规范性</w:t>
            </w:r>
          </w:p>
        </w:tc>
        <w:tc>
          <w:tcPr>
            <w:tcW w:w="2354" w:type="dxa"/>
            <w:shd w:val="clear" w:color="auto" w:fill="FFFFFF"/>
            <w:vAlign w:val="center"/>
          </w:tcPr>
          <w:p>
            <w:pPr>
              <w:widowControl/>
              <w:spacing w:line="0" w:lineRule="atLeast"/>
              <w:rPr>
                <w:color w:val="auto"/>
                <w:kern w:val="0"/>
                <w:sz w:val="22"/>
                <w:szCs w:val="22"/>
              </w:rPr>
            </w:pPr>
            <w:r>
              <w:rPr>
                <w:color w:val="auto"/>
                <w:kern w:val="0"/>
                <w:sz w:val="22"/>
                <w:szCs w:val="22"/>
              </w:rPr>
              <w:t>项目申请、设立过程是否符合相关要求，用以反映和考核项目立项的规范情况。</w:t>
            </w:r>
          </w:p>
        </w:tc>
        <w:tc>
          <w:tcPr>
            <w:tcW w:w="5197"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①项目是否按照规定的程序申请设立；</w:t>
            </w:r>
            <w:r>
              <w:rPr>
                <w:color w:val="auto"/>
                <w:kern w:val="0"/>
                <w:sz w:val="22"/>
                <w:szCs w:val="22"/>
              </w:rPr>
              <w:br w:type="textWrapping"/>
            </w:r>
            <w:r>
              <w:rPr>
                <w:color w:val="auto"/>
                <w:kern w:val="0"/>
                <w:sz w:val="22"/>
                <w:szCs w:val="22"/>
              </w:rPr>
              <w:t>②审批文件、材料是否符合相关要求；</w:t>
            </w:r>
            <w:r>
              <w:rPr>
                <w:color w:val="auto"/>
                <w:kern w:val="0"/>
                <w:sz w:val="22"/>
                <w:szCs w:val="22"/>
              </w:rPr>
              <w:br w:type="textWrapping"/>
            </w:r>
            <w:r>
              <w:rPr>
                <w:color w:val="auto"/>
                <w:kern w:val="0"/>
                <w:sz w:val="22"/>
                <w:szCs w:val="22"/>
              </w:rPr>
              <w:t>③事前是否已经过必要的可行性研究、专家论证、风险评估、绩效评估、集体决策。</w:t>
            </w:r>
          </w:p>
        </w:tc>
        <w:tc>
          <w:tcPr>
            <w:tcW w:w="129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2"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3" w:type="dxa"/>
            <w:vMerge w:val="continue"/>
            <w:shd w:val="clear" w:color="auto" w:fill="FFFFFF"/>
            <w:vAlign w:val="center"/>
          </w:tcPr>
          <w:p>
            <w:pPr>
              <w:spacing w:line="0" w:lineRule="atLeast"/>
              <w:jc w:val="center"/>
              <w:rPr>
                <w:color w:val="auto"/>
                <w:kern w:val="0"/>
                <w:sz w:val="22"/>
                <w:szCs w:val="22"/>
              </w:rPr>
            </w:pPr>
          </w:p>
        </w:tc>
        <w:tc>
          <w:tcPr>
            <w:tcW w:w="765"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p>
            <w:pPr>
              <w:widowControl/>
              <w:spacing w:line="0" w:lineRule="atLeast"/>
              <w:jc w:val="center"/>
              <w:rPr>
                <w:color w:val="auto"/>
                <w:kern w:val="0"/>
                <w:sz w:val="22"/>
                <w:szCs w:val="22"/>
              </w:rPr>
            </w:pPr>
            <w:r>
              <w:rPr>
                <w:color w:val="auto"/>
                <w:kern w:val="0"/>
                <w:sz w:val="22"/>
                <w:szCs w:val="22"/>
              </w:rPr>
              <w:t>合理性</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项目所设定的绩效目标是否依据充分，是否符合客观实际，用以反映和考核项目绩效目标与项目实施的相符情况。</w:t>
            </w:r>
          </w:p>
        </w:tc>
        <w:tc>
          <w:tcPr>
            <w:tcW w:w="5197" w:type="dxa"/>
            <w:shd w:val="clear" w:color="000000"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（如未设定预算绩效目标，也可考核其他工作任务目标）</w:t>
            </w:r>
            <w:r>
              <w:rPr>
                <w:color w:val="auto"/>
                <w:kern w:val="0"/>
                <w:sz w:val="22"/>
                <w:szCs w:val="22"/>
              </w:rPr>
              <w:br w:type="textWrapping"/>
            </w:r>
            <w:r>
              <w:rPr>
                <w:color w:val="auto"/>
                <w:kern w:val="0"/>
                <w:sz w:val="22"/>
                <w:szCs w:val="22"/>
              </w:rPr>
              <w:t>①项目是否有绩效目标；</w:t>
            </w:r>
            <w:r>
              <w:rPr>
                <w:color w:val="auto"/>
                <w:kern w:val="0"/>
                <w:sz w:val="22"/>
                <w:szCs w:val="22"/>
              </w:rPr>
              <w:br w:type="textWrapping"/>
            </w:r>
            <w:r>
              <w:rPr>
                <w:color w:val="auto"/>
                <w:kern w:val="0"/>
                <w:sz w:val="22"/>
                <w:szCs w:val="22"/>
              </w:rPr>
              <w:t>②项目绩效目标与实际工作内容是否具有相关性；</w:t>
            </w:r>
            <w:r>
              <w:rPr>
                <w:color w:val="auto"/>
                <w:kern w:val="0"/>
                <w:sz w:val="22"/>
                <w:szCs w:val="22"/>
              </w:rPr>
              <w:br w:type="textWrapping"/>
            </w:r>
            <w:r>
              <w:rPr>
                <w:color w:val="auto"/>
                <w:kern w:val="0"/>
                <w:sz w:val="22"/>
                <w:szCs w:val="22"/>
              </w:rPr>
              <w:t>③项目预期产出效益和效果是否符合正常的业绩水平；</w:t>
            </w:r>
          </w:p>
          <w:p>
            <w:pPr>
              <w:widowControl/>
              <w:spacing w:line="0" w:lineRule="atLeast"/>
              <w:jc w:val="left"/>
              <w:rPr>
                <w:color w:val="auto"/>
                <w:kern w:val="0"/>
                <w:sz w:val="22"/>
                <w:szCs w:val="22"/>
              </w:rPr>
            </w:pPr>
            <w:r>
              <w:rPr>
                <w:color w:val="auto"/>
                <w:kern w:val="0"/>
                <w:sz w:val="22"/>
                <w:szCs w:val="22"/>
              </w:rPr>
              <w:t>④是否与预算确定的项目投资额或资金量相匹配。</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3" w:type="dxa"/>
            <w:vMerge w:val="continue"/>
            <w:shd w:val="clear" w:color="auto" w:fill="FFFFFF"/>
            <w:vAlign w:val="center"/>
          </w:tcPr>
          <w:p>
            <w:pPr>
              <w:widowControl/>
              <w:spacing w:line="0" w:lineRule="atLeast"/>
              <w:jc w:val="center"/>
              <w:rPr>
                <w:color w:val="auto"/>
                <w:kern w:val="0"/>
                <w:sz w:val="22"/>
                <w:szCs w:val="22"/>
              </w:rPr>
            </w:pPr>
          </w:p>
        </w:tc>
        <w:tc>
          <w:tcPr>
            <w:tcW w:w="765"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绩效指标</w:t>
            </w:r>
          </w:p>
          <w:p>
            <w:pPr>
              <w:widowControl/>
              <w:spacing w:line="0" w:lineRule="atLeast"/>
              <w:jc w:val="center"/>
              <w:rPr>
                <w:color w:val="auto"/>
                <w:kern w:val="0"/>
                <w:sz w:val="22"/>
                <w:szCs w:val="22"/>
              </w:rPr>
            </w:pPr>
            <w:r>
              <w:rPr>
                <w:color w:val="auto"/>
                <w:kern w:val="0"/>
                <w:sz w:val="22"/>
                <w:szCs w:val="22"/>
              </w:rPr>
              <w:t>明确性</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依据绩效目标设定的绩效指标是否清晰、细化、可衡量等，用以反映和考核项目绩效目标的明细化情况。</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①是否将项目绩效目标细化分解为具体的绩效指标；</w:t>
            </w:r>
            <w:r>
              <w:rPr>
                <w:color w:val="auto"/>
                <w:kern w:val="0"/>
                <w:sz w:val="22"/>
                <w:szCs w:val="22"/>
              </w:rPr>
              <w:br w:type="textWrapping"/>
            </w:r>
            <w:r>
              <w:rPr>
                <w:color w:val="auto"/>
                <w:kern w:val="0"/>
                <w:sz w:val="22"/>
                <w:szCs w:val="22"/>
              </w:rPr>
              <w:t>②是否通过清晰、可衡量的指标值予以体现；</w:t>
            </w:r>
            <w:r>
              <w:rPr>
                <w:color w:val="auto"/>
                <w:kern w:val="0"/>
                <w:sz w:val="22"/>
                <w:szCs w:val="22"/>
              </w:rPr>
              <w:br w:type="textWrapping"/>
            </w:r>
            <w:r>
              <w:rPr>
                <w:color w:val="auto"/>
                <w:kern w:val="0"/>
                <w:sz w:val="22"/>
                <w:szCs w:val="22"/>
              </w:rPr>
              <w:t>③是否与项目目标任务数或计划数相对应。</w:t>
            </w:r>
            <w:r>
              <w:rPr>
                <w:color w:val="auto"/>
                <w:kern w:val="0"/>
                <w:sz w:val="22"/>
                <w:szCs w:val="22"/>
              </w:rPr>
              <w:br w:type="textWrapping"/>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3" w:type="dxa"/>
            <w:vMerge w:val="continue"/>
            <w:shd w:val="clear" w:color="auto" w:fill="FFFFFF"/>
            <w:vAlign w:val="center"/>
          </w:tcPr>
          <w:p>
            <w:pPr>
              <w:spacing w:line="0" w:lineRule="atLeast"/>
              <w:jc w:val="center"/>
              <w:rPr>
                <w:color w:val="auto"/>
                <w:kern w:val="0"/>
                <w:sz w:val="22"/>
                <w:szCs w:val="22"/>
              </w:rPr>
            </w:pPr>
          </w:p>
        </w:tc>
        <w:tc>
          <w:tcPr>
            <w:tcW w:w="765"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资金投入</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预算编制</w:t>
            </w:r>
          </w:p>
          <w:p>
            <w:pPr>
              <w:widowControl/>
              <w:spacing w:line="0" w:lineRule="atLeast"/>
              <w:jc w:val="center"/>
              <w:rPr>
                <w:color w:val="auto"/>
                <w:kern w:val="0"/>
                <w:sz w:val="22"/>
                <w:szCs w:val="22"/>
              </w:rPr>
            </w:pPr>
            <w:r>
              <w:rPr>
                <w:color w:val="auto"/>
                <w:kern w:val="0"/>
                <w:sz w:val="22"/>
                <w:szCs w:val="22"/>
              </w:rPr>
              <w:t>科学性</w:t>
            </w:r>
          </w:p>
        </w:tc>
        <w:tc>
          <w:tcPr>
            <w:tcW w:w="2354" w:type="dxa"/>
            <w:shd w:val="clear" w:color="auto" w:fill="FFFFFF"/>
            <w:vAlign w:val="center"/>
          </w:tcPr>
          <w:p>
            <w:pPr>
              <w:widowControl/>
              <w:spacing w:line="0" w:lineRule="atLeast"/>
              <w:rPr>
                <w:color w:val="auto"/>
                <w:kern w:val="0"/>
                <w:sz w:val="22"/>
                <w:szCs w:val="22"/>
              </w:rPr>
            </w:pPr>
            <w:r>
              <w:rPr>
                <w:color w:val="auto"/>
                <w:kern w:val="0"/>
                <w:sz w:val="22"/>
                <w:szCs w:val="22"/>
              </w:rPr>
              <w:t>项目预算编制是否经过科学论证、有明确标准，资金额度与年度目标是否相适应，用以反映和考核项目预算编制的科学性、合理性情况。</w:t>
            </w:r>
          </w:p>
        </w:tc>
        <w:tc>
          <w:tcPr>
            <w:tcW w:w="5197"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①预算编制是否经过科学论证；</w:t>
            </w:r>
            <w:r>
              <w:rPr>
                <w:color w:val="auto"/>
                <w:kern w:val="0"/>
                <w:sz w:val="22"/>
                <w:szCs w:val="22"/>
              </w:rPr>
              <w:br w:type="textWrapping"/>
            </w:r>
            <w:r>
              <w:rPr>
                <w:color w:val="auto"/>
                <w:kern w:val="0"/>
                <w:sz w:val="22"/>
                <w:szCs w:val="22"/>
              </w:rPr>
              <w:t>②预算内容与项目内容是否匹配；</w:t>
            </w:r>
            <w:r>
              <w:rPr>
                <w:color w:val="auto"/>
                <w:kern w:val="0"/>
                <w:sz w:val="22"/>
                <w:szCs w:val="22"/>
              </w:rPr>
              <w:br w:type="textWrapping"/>
            </w:r>
            <w:r>
              <w:rPr>
                <w:color w:val="auto"/>
                <w:kern w:val="0"/>
                <w:sz w:val="22"/>
                <w:szCs w:val="22"/>
              </w:rPr>
              <w:t>③预算额度测算依据是否充分，是否按照标准编制；</w:t>
            </w:r>
            <w:r>
              <w:rPr>
                <w:color w:val="auto"/>
                <w:kern w:val="0"/>
                <w:sz w:val="22"/>
                <w:szCs w:val="22"/>
              </w:rPr>
              <w:br w:type="textWrapping"/>
            </w:r>
            <w:r>
              <w:rPr>
                <w:color w:val="auto"/>
                <w:kern w:val="0"/>
                <w:sz w:val="22"/>
                <w:szCs w:val="22"/>
              </w:rPr>
              <w:t>④预算确定的项目投资额或资金量是否与工作任务相匹配。</w:t>
            </w:r>
          </w:p>
        </w:tc>
        <w:tc>
          <w:tcPr>
            <w:tcW w:w="129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2"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3" w:type="dxa"/>
            <w:vMerge w:val="continue"/>
            <w:shd w:val="clear" w:color="auto" w:fill="FFFFFF"/>
            <w:vAlign w:val="center"/>
          </w:tcPr>
          <w:p>
            <w:pPr>
              <w:widowControl/>
              <w:spacing w:line="0" w:lineRule="atLeast"/>
              <w:jc w:val="center"/>
              <w:rPr>
                <w:color w:val="auto"/>
                <w:kern w:val="0"/>
                <w:sz w:val="22"/>
                <w:szCs w:val="22"/>
              </w:rPr>
            </w:pPr>
          </w:p>
        </w:tc>
        <w:tc>
          <w:tcPr>
            <w:tcW w:w="765"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资金分配</w:t>
            </w:r>
          </w:p>
          <w:p>
            <w:pPr>
              <w:widowControl/>
              <w:spacing w:line="0" w:lineRule="atLeast"/>
              <w:jc w:val="center"/>
              <w:rPr>
                <w:color w:val="auto"/>
                <w:kern w:val="0"/>
                <w:sz w:val="22"/>
                <w:szCs w:val="22"/>
              </w:rPr>
            </w:pPr>
            <w:r>
              <w:rPr>
                <w:color w:val="auto"/>
                <w:kern w:val="0"/>
                <w:sz w:val="22"/>
                <w:szCs w:val="22"/>
              </w:rPr>
              <w:t>合理性</w:t>
            </w:r>
          </w:p>
        </w:tc>
        <w:tc>
          <w:tcPr>
            <w:tcW w:w="2354"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项目预算资金分配是否有测算依据，与补助单位或地方实际是否相适应，用以反映和考核项目预算资金分配的科学性、合理性情况。</w:t>
            </w:r>
          </w:p>
        </w:tc>
        <w:tc>
          <w:tcPr>
            <w:tcW w:w="5197"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①预算资金分配依据是否充分；</w:t>
            </w:r>
            <w:r>
              <w:rPr>
                <w:color w:val="auto"/>
                <w:kern w:val="0"/>
                <w:sz w:val="22"/>
                <w:szCs w:val="22"/>
              </w:rPr>
              <w:br w:type="textWrapping"/>
            </w:r>
            <w:r>
              <w:rPr>
                <w:color w:val="auto"/>
                <w:kern w:val="0"/>
                <w:sz w:val="22"/>
                <w:szCs w:val="22"/>
              </w:rPr>
              <w:t>②资金分配额度是否合理，与项目单位或地方实际是否相适应。</w:t>
            </w:r>
          </w:p>
        </w:tc>
        <w:tc>
          <w:tcPr>
            <w:tcW w:w="129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2"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3" w:type="dxa"/>
            <w:vMerge w:val="restart"/>
            <w:shd w:val="clear" w:color="auto" w:fill="FFFFFF"/>
            <w:vAlign w:val="center"/>
          </w:tcPr>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r>
              <w:rPr>
                <w:color w:val="auto"/>
                <w:kern w:val="0"/>
                <w:sz w:val="22"/>
                <w:szCs w:val="22"/>
              </w:rPr>
              <w:t>过程</w:t>
            </w:r>
          </w:p>
          <w:p>
            <w:pPr>
              <w:widowControl/>
              <w:spacing w:line="0" w:lineRule="atLeast"/>
              <w:jc w:val="center"/>
              <w:rPr>
                <w:color w:val="auto"/>
                <w:kern w:val="0"/>
                <w:sz w:val="22"/>
                <w:szCs w:val="22"/>
              </w:rPr>
            </w:pPr>
            <w:r>
              <w:rPr>
                <w:color w:val="auto"/>
                <w:kern w:val="0"/>
                <w:sz w:val="22"/>
                <w:szCs w:val="22"/>
              </w:rPr>
              <w:t>　　</w:t>
            </w:r>
          </w:p>
        </w:tc>
        <w:tc>
          <w:tcPr>
            <w:tcW w:w="765"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资金到位率</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实际到位资金与预算资金的比率，用以反映和考核资金落实情况对项目实施的总体保障程度。</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资金到位率=（实际到位资金/预算资金）×100%。</w:t>
            </w:r>
          </w:p>
          <w:p>
            <w:pPr>
              <w:widowControl/>
              <w:spacing w:line="0" w:lineRule="atLeast"/>
              <w:rPr>
                <w:color w:val="auto"/>
                <w:kern w:val="0"/>
                <w:sz w:val="22"/>
                <w:szCs w:val="22"/>
              </w:rPr>
            </w:pPr>
            <w:r>
              <w:rPr>
                <w:color w:val="auto"/>
                <w:kern w:val="0"/>
                <w:sz w:val="22"/>
                <w:szCs w:val="22"/>
              </w:rPr>
              <w:t>实际到位资金：一定时期（本年度或项目期）内落实到具体项目的资金。</w:t>
            </w:r>
          </w:p>
          <w:p>
            <w:pPr>
              <w:widowControl/>
              <w:spacing w:line="0" w:lineRule="atLeast"/>
              <w:rPr>
                <w:color w:val="auto"/>
                <w:kern w:val="0"/>
                <w:sz w:val="22"/>
                <w:szCs w:val="22"/>
              </w:rPr>
            </w:pPr>
            <w:r>
              <w:rPr>
                <w:color w:val="auto"/>
                <w:kern w:val="0"/>
                <w:sz w:val="22"/>
                <w:szCs w:val="22"/>
              </w:rPr>
              <w:t>预算资金：一定时期（本年度或项目期）内预算安排到具体项目的资金。</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3" w:type="dxa"/>
            <w:vMerge w:val="continue"/>
            <w:shd w:val="clear" w:color="auto" w:fill="FFFFFF"/>
            <w:vAlign w:val="center"/>
          </w:tcPr>
          <w:p>
            <w:pPr>
              <w:spacing w:line="0" w:lineRule="atLeast"/>
              <w:jc w:val="center"/>
              <w:rPr>
                <w:color w:val="auto"/>
                <w:kern w:val="0"/>
                <w:sz w:val="22"/>
                <w:szCs w:val="22"/>
              </w:rPr>
            </w:pPr>
          </w:p>
        </w:tc>
        <w:tc>
          <w:tcPr>
            <w:tcW w:w="765" w:type="dxa"/>
            <w:vMerge w:val="continue"/>
            <w:shd w:val="clear" w:color="auto" w:fill="FFFFFF"/>
            <w:vAlign w:val="center"/>
          </w:tcPr>
          <w:p>
            <w:pPr>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预算执行率</w:t>
            </w:r>
          </w:p>
        </w:tc>
        <w:tc>
          <w:tcPr>
            <w:tcW w:w="2354"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项目预算资金是否按照计划执行，用以反映或考核项目预算执行情况。</w:t>
            </w:r>
          </w:p>
        </w:tc>
        <w:tc>
          <w:tcPr>
            <w:tcW w:w="5197" w:type="dxa"/>
            <w:shd w:val="clear" w:color="auto" w:fill="FFFFFF"/>
            <w:vAlign w:val="center"/>
          </w:tcPr>
          <w:p>
            <w:pPr>
              <w:widowControl/>
              <w:spacing w:line="0" w:lineRule="atLeast"/>
              <w:rPr>
                <w:color w:val="auto"/>
                <w:kern w:val="0"/>
                <w:sz w:val="22"/>
                <w:szCs w:val="22"/>
              </w:rPr>
            </w:pPr>
            <w:r>
              <w:rPr>
                <w:color w:val="auto"/>
                <w:kern w:val="0"/>
                <w:sz w:val="22"/>
                <w:szCs w:val="22"/>
              </w:rPr>
              <w:t>预算执行率=（实际支出资金/实际到位资金）×100%。</w:t>
            </w:r>
            <w:r>
              <w:rPr>
                <w:color w:val="auto"/>
                <w:kern w:val="0"/>
                <w:sz w:val="22"/>
                <w:szCs w:val="22"/>
              </w:rPr>
              <w:br w:type="textWrapping"/>
            </w:r>
            <w:r>
              <w:rPr>
                <w:color w:val="auto"/>
                <w:kern w:val="0"/>
                <w:sz w:val="22"/>
                <w:szCs w:val="22"/>
              </w:rPr>
              <w:t>实际支出资金：一定时期（本年度或项目期）内项目实际拨付的资金。</w:t>
            </w:r>
          </w:p>
        </w:tc>
        <w:tc>
          <w:tcPr>
            <w:tcW w:w="129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2"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3" w:type="dxa"/>
            <w:vMerge w:val="continue"/>
            <w:shd w:val="clear" w:color="auto" w:fill="FFFFFF"/>
            <w:vAlign w:val="center"/>
          </w:tcPr>
          <w:p>
            <w:pPr>
              <w:spacing w:line="0" w:lineRule="atLeast"/>
              <w:jc w:val="center"/>
              <w:rPr>
                <w:color w:val="auto"/>
                <w:kern w:val="0"/>
                <w:sz w:val="22"/>
                <w:szCs w:val="22"/>
              </w:rPr>
            </w:pPr>
          </w:p>
        </w:tc>
        <w:tc>
          <w:tcPr>
            <w:tcW w:w="765"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资金使用</w:t>
            </w:r>
          </w:p>
          <w:p>
            <w:pPr>
              <w:widowControl/>
              <w:spacing w:line="0" w:lineRule="atLeast"/>
              <w:jc w:val="center"/>
              <w:rPr>
                <w:color w:val="auto"/>
                <w:kern w:val="0"/>
                <w:sz w:val="22"/>
                <w:szCs w:val="22"/>
              </w:rPr>
            </w:pPr>
            <w:r>
              <w:rPr>
                <w:color w:val="auto"/>
                <w:kern w:val="0"/>
                <w:sz w:val="22"/>
                <w:szCs w:val="22"/>
              </w:rPr>
              <w:t>合规性</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项目资金使用是否符合相关的财务管理制度规定，用以反映和考核项目资金的规范运行情况。</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①是否符合国家财经法规和财务管理制度以及有关专项资金管理办法的规定；</w:t>
            </w:r>
            <w:r>
              <w:rPr>
                <w:color w:val="auto"/>
                <w:kern w:val="0"/>
                <w:sz w:val="22"/>
                <w:szCs w:val="22"/>
              </w:rPr>
              <w:br w:type="textWrapping"/>
            </w:r>
            <w:r>
              <w:rPr>
                <w:color w:val="auto"/>
                <w:kern w:val="0"/>
                <w:sz w:val="22"/>
                <w:szCs w:val="22"/>
              </w:rPr>
              <w:t>②资金的拨付是否有完整的审批程序和手续；</w:t>
            </w:r>
            <w:r>
              <w:rPr>
                <w:color w:val="auto"/>
                <w:kern w:val="0"/>
                <w:sz w:val="22"/>
                <w:szCs w:val="22"/>
              </w:rPr>
              <w:br w:type="textWrapping"/>
            </w:r>
            <w:r>
              <w:rPr>
                <w:color w:val="auto"/>
                <w:kern w:val="0"/>
                <w:sz w:val="22"/>
                <w:szCs w:val="22"/>
              </w:rPr>
              <w:t>③是否符合项目预算批复或合同规定的用途；</w:t>
            </w:r>
            <w:r>
              <w:rPr>
                <w:color w:val="auto"/>
                <w:kern w:val="0"/>
                <w:sz w:val="22"/>
                <w:szCs w:val="22"/>
              </w:rPr>
              <w:br w:type="textWrapping"/>
            </w:r>
            <w:r>
              <w:rPr>
                <w:color w:val="auto"/>
                <w:kern w:val="0"/>
                <w:sz w:val="22"/>
                <w:szCs w:val="22"/>
              </w:rPr>
              <w:t>④是否存在截留、挤占、挪用、虚列支出等情况。</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3" w:type="dxa"/>
            <w:vMerge w:val="continue"/>
            <w:shd w:val="clear" w:color="auto" w:fill="FFFFFF"/>
            <w:vAlign w:val="center"/>
          </w:tcPr>
          <w:p>
            <w:pPr>
              <w:spacing w:line="0" w:lineRule="atLeast"/>
              <w:jc w:val="center"/>
              <w:rPr>
                <w:color w:val="auto"/>
                <w:kern w:val="0"/>
                <w:sz w:val="22"/>
                <w:szCs w:val="22"/>
              </w:rPr>
            </w:pPr>
          </w:p>
        </w:tc>
        <w:tc>
          <w:tcPr>
            <w:tcW w:w="765"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组织实施</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管理制度</w:t>
            </w:r>
          </w:p>
          <w:p>
            <w:pPr>
              <w:widowControl/>
              <w:spacing w:line="0" w:lineRule="atLeast"/>
              <w:jc w:val="center"/>
              <w:rPr>
                <w:color w:val="auto"/>
                <w:kern w:val="0"/>
                <w:sz w:val="22"/>
                <w:szCs w:val="22"/>
              </w:rPr>
            </w:pPr>
            <w:r>
              <w:rPr>
                <w:color w:val="auto"/>
                <w:kern w:val="0"/>
                <w:sz w:val="22"/>
                <w:szCs w:val="22"/>
              </w:rPr>
              <w:t>健全性</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项目实施单位的财务和业务管理制度是否健全，用以反映和考核财务和业务管理制度对项目顺利实施的保障情况。</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①是否已制定或具有相应的财务和业务管理制度；</w:t>
            </w:r>
            <w:r>
              <w:rPr>
                <w:color w:val="auto"/>
                <w:kern w:val="0"/>
                <w:sz w:val="22"/>
                <w:szCs w:val="22"/>
              </w:rPr>
              <w:br w:type="textWrapping"/>
            </w:r>
            <w:r>
              <w:rPr>
                <w:color w:val="auto"/>
                <w:kern w:val="0"/>
                <w:sz w:val="22"/>
                <w:szCs w:val="22"/>
              </w:rPr>
              <w:t>②财务和业务管理制度是否合法、合规、完整。</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3" w:type="dxa"/>
            <w:vMerge w:val="continue"/>
            <w:shd w:val="clear" w:color="auto" w:fill="FFFFFF"/>
            <w:vAlign w:val="center"/>
          </w:tcPr>
          <w:p>
            <w:pPr>
              <w:widowControl/>
              <w:spacing w:line="0" w:lineRule="atLeast"/>
              <w:jc w:val="center"/>
              <w:rPr>
                <w:color w:val="auto"/>
                <w:kern w:val="0"/>
                <w:sz w:val="22"/>
                <w:szCs w:val="22"/>
              </w:rPr>
            </w:pPr>
          </w:p>
        </w:tc>
        <w:tc>
          <w:tcPr>
            <w:tcW w:w="765"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制度执行</w:t>
            </w:r>
          </w:p>
          <w:p>
            <w:pPr>
              <w:widowControl/>
              <w:spacing w:line="0" w:lineRule="atLeast"/>
              <w:jc w:val="center"/>
              <w:rPr>
                <w:color w:val="auto"/>
                <w:kern w:val="0"/>
                <w:sz w:val="22"/>
                <w:szCs w:val="22"/>
              </w:rPr>
            </w:pPr>
            <w:r>
              <w:rPr>
                <w:color w:val="auto"/>
                <w:kern w:val="0"/>
                <w:sz w:val="22"/>
                <w:szCs w:val="22"/>
              </w:rPr>
              <w:t>有效性</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项目实施是否符合相关管理规定，用以反映和考核相关管理制度的有效执行情况。</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①是否遵守相关法律法规和相关管理规定；</w:t>
            </w:r>
            <w:r>
              <w:rPr>
                <w:color w:val="auto"/>
                <w:kern w:val="0"/>
                <w:sz w:val="22"/>
                <w:szCs w:val="22"/>
              </w:rPr>
              <w:br w:type="textWrapping"/>
            </w:r>
            <w:r>
              <w:rPr>
                <w:color w:val="auto"/>
                <w:kern w:val="0"/>
                <w:sz w:val="22"/>
                <w:szCs w:val="22"/>
              </w:rPr>
              <w:t>②项目调整及支出调整手续是否完备；</w:t>
            </w:r>
            <w:r>
              <w:rPr>
                <w:color w:val="auto"/>
                <w:kern w:val="0"/>
                <w:sz w:val="22"/>
                <w:szCs w:val="22"/>
              </w:rPr>
              <w:br w:type="textWrapping"/>
            </w:r>
            <w:r>
              <w:rPr>
                <w:color w:val="auto"/>
                <w:kern w:val="0"/>
                <w:sz w:val="22"/>
                <w:szCs w:val="22"/>
              </w:rPr>
              <w:t>③项目合同书、验收报告、技术鉴定等资料是否齐全并及时归档；</w:t>
            </w:r>
            <w:r>
              <w:rPr>
                <w:color w:val="auto"/>
                <w:kern w:val="0"/>
                <w:sz w:val="22"/>
                <w:szCs w:val="22"/>
              </w:rPr>
              <w:br w:type="textWrapping"/>
            </w:r>
            <w:r>
              <w:rPr>
                <w:color w:val="auto"/>
                <w:kern w:val="0"/>
                <w:sz w:val="22"/>
                <w:szCs w:val="22"/>
              </w:rPr>
              <w:t>④项目实施的人员条件、场地设备、信息支撑等是否落实到位。</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产出</w:t>
            </w:r>
          </w:p>
        </w:tc>
        <w:tc>
          <w:tcPr>
            <w:tcW w:w="765"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产出数量</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实际完成率</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项目实施的实际产出数与计划产出数的比率，用以反映和考核项目产出数量目标的实现程度。</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实际完成率=（实际产出数/计划产出数）×100%。</w:t>
            </w:r>
            <w:r>
              <w:rPr>
                <w:color w:val="auto"/>
                <w:kern w:val="0"/>
                <w:sz w:val="22"/>
                <w:szCs w:val="22"/>
              </w:rPr>
              <w:br w:type="textWrapping"/>
            </w:r>
            <w:r>
              <w:rPr>
                <w:color w:val="auto"/>
                <w:kern w:val="0"/>
                <w:sz w:val="22"/>
                <w:szCs w:val="22"/>
              </w:rPr>
              <w:t>实际产出数：一定时期（本年度或项目期）内项目实际产出的产品或提供的服务数量。</w:t>
            </w:r>
            <w:r>
              <w:rPr>
                <w:color w:val="auto"/>
                <w:kern w:val="0"/>
                <w:sz w:val="22"/>
                <w:szCs w:val="22"/>
              </w:rPr>
              <w:br w:type="textWrapping"/>
            </w:r>
            <w:r>
              <w:rPr>
                <w:color w:val="auto"/>
                <w:kern w:val="0"/>
                <w:sz w:val="22"/>
                <w:szCs w:val="22"/>
              </w:rPr>
              <w:t>计划产出数：项目绩效目标确定的在一定时期（本年度或项目期）内计划产出的产品或提供的服务数量。</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3" w:type="dxa"/>
            <w:vMerge w:val="continue"/>
            <w:shd w:val="clear" w:color="auto" w:fill="FFFFFF"/>
            <w:vAlign w:val="center"/>
          </w:tcPr>
          <w:p>
            <w:pPr>
              <w:widowControl/>
              <w:spacing w:line="0" w:lineRule="atLeast"/>
              <w:jc w:val="center"/>
              <w:rPr>
                <w:color w:val="auto"/>
                <w:kern w:val="0"/>
                <w:sz w:val="22"/>
                <w:szCs w:val="22"/>
              </w:rPr>
            </w:pPr>
          </w:p>
        </w:tc>
        <w:tc>
          <w:tcPr>
            <w:tcW w:w="765"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产出质量</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质量达标率</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项目完成的质量达标产出数与实际产出数的比率，用以反映和考核项目产出质量目标的实现程度。</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质量达标率=（质量达标产出数/实际产出数）×100%。</w:t>
            </w:r>
          </w:p>
          <w:p>
            <w:pPr>
              <w:widowControl/>
              <w:spacing w:line="0" w:lineRule="atLeast"/>
              <w:rPr>
                <w:color w:val="auto"/>
                <w:kern w:val="0"/>
                <w:sz w:val="22"/>
                <w:szCs w:val="22"/>
              </w:rPr>
            </w:pPr>
            <w:r>
              <w:rPr>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3" w:type="dxa"/>
            <w:vMerge w:val="continue"/>
            <w:shd w:val="clear" w:color="auto" w:fill="FFFFFF"/>
            <w:vAlign w:val="center"/>
          </w:tcPr>
          <w:p>
            <w:pPr>
              <w:spacing w:line="0" w:lineRule="atLeast"/>
              <w:jc w:val="center"/>
              <w:rPr>
                <w:color w:val="auto"/>
                <w:kern w:val="0"/>
                <w:sz w:val="22"/>
                <w:szCs w:val="22"/>
              </w:rPr>
            </w:pPr>
          </w:p>
        </w:tc>
        <w:tc>
          <w:tcPr>
            <w:tcW w:w="765" w:type="dxa"/>
            <w:shd w:val="clear" w:color="auto" w:fill="FFFFFF"/>
            <w:vAlign w:val="center"/>
          </w:tcPr>
          <w:p>
            <w:pPr>
              <w:spacing w:line="0" w:lineRule="atLeast"/>
              <w:jc w:val="center"/>
              <w:rPr>
                <w:color w:val="auto"/>
                <w:kern w:val="0"/>
                <w:sz w:val="22"/>
                <w:szCs w:val="22"/>
              </w:rPr>
            </w:pPr>
            <w:r>
              <w:rPr>
                <w:color w:val="auto"/>
                <w:kern w:val="0"/>
                <w:sz w:val="22"/>
                <w:szCs w:val="22"/>
              </w:rPr>
              <w:t>产出时效</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完成及时性</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项目实际完成时间与计划完成时间的比较，用以反映和考核项目产出时效目标的实现程度。</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实际完成时间：项目实施单位完成该项目实际所耗用的时间。</w:t>
            </w:r>
            <w:r>
              <w:rPr>
                <w:color w:val="auto"/>
                <w:kern w:val="0"/>
                <w:sz w:val="22"/>
                <w:szCs w:val="22"/>
              </w:rPr>
              <w:br w:type="textWrapping"/>
            </w:r>
            <w:r>
              <w:rPr>
                <w:color w:val="auto"/>
                <w:kern w:val="0"/>
                <w:sz w:val="22"/>
                <w:szCs w:val="22"/>
              </w:rPr>
              <w:t>计划完成时间：按照项目实施计划或相关规定完成该项目所需的时间。</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3" w:type="dxa"/>
            <w:vMerge w:val="continue"/>
            <w:shd w:val="clear" w:color="auto" w:fill="FFFFFF"/>
            <w:vAlign w:val="center"/>
          </w:tcPr>
          <w:p>
            <w:pPr>
              <w:widowControl/>
              <w:spacing w:line="0" w:lineRule="atLeast"/>
              <w:jc w:val="center"/>
              <w:rPr>
                <w:color w:val="auto"/>
                <w:kern w:val="0"/>
                <w:sz w:val="22"/>
                <w:szCs w:val="22"/>
              </w:rPr>
            </w:pPr>
          </w:p>
        </w:tc>
        <w:tc>
          <w:tcPr>
            <w:tcW w:w="765"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产出成本</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成本节约率</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完成项目计划工作目标的实际节约成本与计划成本的比率，用以反映和考核项目的成本节约程度。</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br w:type="textWrapping"/>
            </w:r>
            <w:r>
              <w:rPr>
                <w:color w:val="auto"/>
                <w:kern w:val="0"/>
                <w:sz w:val="22"/>
                <w:szCs w:val="22"/>
              </w:rPr>
              <w:t>成本节约率=[（计划成本-实际成本）/计划成本]×100%。</w:t>
            </w:r>
            <w:r>
              <w:rPr>
                <w:color w:val="auto"/>
                <w:kern w:val="0"/>
                <w:sz w:val="22"/>
                <w:szCs w:val="22"/>
              </w:rPr>
              <w:br w:type="textWrapping"/>
            </w:r>
            <w:r>
              <w:rPr>
                <w:color w:val="auto"/>
                <w:kern w:val="0"/>
                <w:sz w:val="22"/>
                <w:szCs w:val="22"/>
              </w:rPr>
              <w:t>实际成本：项目实施单位如期、保质、保量完成既定工作目标实际所耗费的支出。</w:t>
            </w:r>
            <w:r>
              <w:rPr>
                <w:color w:val="auto"/>
                <w:kern w:val="0"/>
                <w:sz w:val="22"/>
                <w:szCs w:val="22"/>
              </w:rPr>
              <w:br w:type="textWrapping"/>
            </w:r>
            <w:r>
              <w:rPr>
                <w:color w:val="auto"/>
                <w:kern w:val="0"/>
                <w:sz w:val="22"/>
                <w:szCs w:val="22"/>
              </w:rPr>
              <w:t>计划成本：项目实施单位为完成工作目标计划安排的支出，一般以项目预算为参考。</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5.57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效益　</w:t>
            </w:r>
          </w:p>
        </w:tc>
        <w:tc>
          <w:tcPr>
            <w:tcW w:w="765"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项目效益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实施效益</w:t>
            </w:r>
          </w:p>
        </w:tc>
        <w:tc>
          <w:tcPr>
            <w:tcW w:w="2354" w:type="dxa"/>
            <w:shd w:val="clear" w:color="auto" w:fill="FFFFFF"/>
            <w:vAlign w:val="center"/>
          </w:tcPr>
          <w:p>
            <w:pPr>
              <w:widowControl/>
              <w:spacing w:line="0" w:lineRule="atLeast"/>
              <w:jc w:val="left"/>
              <w:rPr>
                <w:color w:val="auto"/>
                <w:kern w:val="0"/>
                <w:sz w:val="22"/>
                <w:szCs w:val="22"/>
              </w:rPr>
            </w:pPr>
            <w:r>
              <w:rPr>
                <w:color w:val="auto"/>
                <w:kern w:val="0"/>
                <w:sz w:val="22"/>
                <w:szCs w:val="22"/>
              </w:rPr>
              <w:t>项目实施所产生的效益。</w:t>
            </w:r>
          </w:p>
        </w:tc>
        <w:tc>
          <w:tcPr>
            <w:tcW w:w="5197" w:type="dxa"/>
            <w:shd w:val="clear" w:color="auto" w:fill="FFFFFF"/>
            <w:vAlign w:val="center"/>
          </w:tcPr>
          <w:p>
            <w:pPr>
              <w:widowControl/>
              <w:spacing w:line="0" w:lineRule="atLeast"/>
              <w:rPr>
                <w:color w:val="auto"/>
                <w:kern w:val="0"/>
                <w:sz w:val="22"/>
                <w:szCs w:val="22"/>
              </w:rPr>
            </w:pPr>
            <w:r>
              <w:rPr>
                <w:color w:val="auto"/>
                <w:kern w:val="0"/>
                <w:sz w:val="22"/>
                <w:szCs w:val="22"/>
              </w:rPr>
              <w:t>项目实施所产生的社会效益、经济效益、生态效益、可持续影响等。可根据项目实际情况有选择地设置和细化。</w:t>
            </w:r>
          </w:p>
        </w:tc>
        <w:tc>
          <w:tcPr>
            <w:tcW w:w="129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2"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3" w:type="dxa"/>
            <w:vMerge w:val="continue"/>
            <w:shd w:val="clear" w:color="auto" w:fill="FFFFFF"/>
            <w:vAlign w:val="center"/>
          </w:tcPr>
          <w:p>
            <w:pPr>
              <w:widowControl/>
              <w:spacing w:line="0" w:lineRule="atLeast"/>
              <w:jc w:val="center"/>
              <w:rPr>
                <w:color w:val="auto"/>
                <w:kern w:val="0"/>
                <w:sz w:val="22"/>
                <w:szCs w:val="22"/>
              </w:rPr>
            </w:pPr>
          </w:p>
        </w:tc>
        <w:tc>
          <w:tcPr>
            <w:tcW w:w="765"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满意度</w:t>
            </w:r>
          </w:p>
        </w:tc>
        <w:tc>
          <w:tcPr>
            <w:tcW w:w="2354" w:type="dxa"/>
            <w:shd w:val="clear" w:color="000000" w:fill="FFFFFF"/>
            <w:vAlign w:val="center"/>
          </w:tcPr>
          <w:p>
            <w:pPr>
              <w:widowControl/>
              <w:spacing w:line="0" w:lineRule="atLeast"/>
              <w:rPr>
                <w:color w:val="auto"/>
                <w:kern w:val="0"/>
                <w:sz w:val="22"/>
                <w:szCs w:val="22"/>
              </w:rPr>
            </w:pPr>
            <w:r>
              <w:rPr>
                <w:color w:val="auto"/>
                <w:kern w:val="0"/>
                <w:sz w:val="22"/>
                <w:szCs w:val="22"/>
              </w:rPr>
              <w:t>社会公众或服务对象对项目实施效果的满意程度。</w:t>
            </w:r>
          </w:p>
        </w:tc>
        <w:tc>
          <w:tcPr>
            <w:tcW w:w="5197" w:type="dxa"/>
            <w:shd w:val="clear" w:color="000000" w:fill="FFFFFF"/>
            <w:vAlign w:val="center"/>
          </w:tcPr>
          <w:p>
            <w:pPr>
              <w:widowControl/>
              <w:spacing w:line="0" w:lineRule="atLeast"/>
              <w:rPr>
                <w:color w:val="auto"/>
                <w:kern w:val="0"/>
                <w:sz w:val="22"/>
                <w:szCs w:val="22"/>
              </w:rPr>
            </w:pPr>
            <w:r>
              <w:rPr>
                <w:color w:val="auto"/>
                <w:kern w:val="0"/>
                <w:sz w:val="22"/>
                <w:szCs w:val="22"/>
              </w:rPr>
              <w:t>社会公众或服务对象是指因该项目实施而受到影响的部门（单位）、群体或个人。一般采取社会调查的方式。</w:t>
            </w:r>
          </w:p>
        </w:tc>
        <w:tc>
          <w:tcPr>
            <w:tcW w:w="1299"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2"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10</w:t>
            </w:r>
          </w:p>
        </w:tc>
      </w:tr>
    </w:tbl>
    <w:p>
      <w:pPr>
        <w:rPr>
          <w:color w:val="auto"/>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7"/>
          <w:jc w:val="center"/>
        </w:pPr>
        <w:r>
          <w:fldChar w:fldCharType="begin"/>
        </w:r>
        <w:r>
          <w:instrText xml:space="preserve">PAGE   \* MERGEFORMAT</w:instrText>
        </w:r>
        <w:r>
          <w:fldChar w:fldCharType="separate"/>
        </w:r>
        <w:r>
          <w:rPr>
            <w:lang w:val="zh-CN"/>
          </w:rPr>
          <w:t>17</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EzYTUzZWU5NjcwMTQwY2YwMDczOTAyZDAxNWRiMzEifQ=="/>
  </w:docVars>
  <w:rsids>
    <w:rsidRoot w:val="FF6C4049"/>
    <w:rsid w:val="00007A3C"/>
    <w:rsid w:val="0001571A"/>
    <w:rsid w:val="00015F9A"/>
    <w:rsid w:val="000160E4"/>
    <w:rsid w:val="00030449"/>
    <w:rsid w:val="00034812"/>
    <w:rsid w:val="000429E4"/>
    <w:rsid w:val="00045448"/>
    <w:rsid w:val="000474A0"/>
    <w:rsid w:val="000669CC"/>
    <w:rsid w:val="00080B53"/>
    <w:rsid w:val="000853B2"/>
    <w:rsid w:val="0009077A"/>
    <w:rsid w:val="000B7DD1"/>
    <w:rsid w:val="000C6410"/>
    <w:rsid w:val="000D2C89"/>
    <w:rsid w:val="000D7189"/>
    <w:rsid w:val="000F261F"/>
    <w:rsid w:val="000F6B35"/>
    <w:rsid w:val="0011458E"/>
    <w:rsid w:val="00127E9A"/>
    <w:rsid w:val="00163634"/>
    <w:rsid w:val="001728CF"/>
    <w:rsid w:val="001C02D7"/>
    <w:rsid w:val="001C3DB1"/>
    <w:rsid w:val="001E670F"/>
    <w:rsid w:val="001F4166"/>
    <w:rsid w:val="00207D9B"/>
    <w:rsid w:val="00215AE5"/>
    <w:rsid w:val="0021619B"/>
    <w:rsid w:val="00230179"/>
    <w:rsid w:val="002A699D"/>
    <w:rsid w:val="002C59E8"/>
    <w:rsid w:val="002C7D12"/>
    <w:rsid w:val="002D1FA7"/>
    <w:rsid w:val="0030268B"/>
    <w:rsid w:val="00303C26"/>
    <w:rsid w:val="00304275"/>
    <w:rsid w:val="003250E1"/>
    <w:rsid w:val="00327B76"/>
    <w:rsid w:val="003369DF"/>
    <w:rsid w:val="0034020C"/>
    <w:rsid w:val="00342475"/>
    <w:rsid w:val="00345CF1"/>
    <w:rsid w:val="00346468"/>
    <w:rsid w:val="00353DCF"/>
    <w:rsid w:val="00354213"/>
    <w:rsid w:val="0036047D"/>
    <w:rsid w:val="00360B3D"/>
    <w:rsid w:val="003638CE"/>
    <w:rsid w:val="00365615"/>
    <w:rsid w:val="00365DB1"/>
    <w:rsid w:val="003B51EA"/>
    <w:rsid w:val="00407931"/>
    <w:rsid w:val="00430524"/>
    <w:rsid w:val="0043229D"/>
    <w:rsid w:val="004340C1"/>
    <w:rsid w:val="004349D4"/>
    <w:rsid w:val="004467C8"/>
    <w:rsid w:val="0044776D"/>
    <w:rsid w:val="00463B5D"/>
    <w:rsid w:val="00473205"/>
    <w:rsid w:val="0048260B"/>
    <w:rsid w:val="00492FA9"/>
    <w:rsid w:val="00510C1A"/>
    <w:rsid w:val="00513EF0"/>
    <w:rsid w:val="00515F34"/>
    <w:rsid w:val="005169B3"/>
    <w:rsid w:val="00517938"/>
    <w:rsid w:val="00552981"/>
    <w:rsid w:val="00561BD8"/>
    <w:rsid w:val="005637C6"/>
    <w:rsid w:val="00565DF1"/>
    <w:rsid w:val="005772D0"/>
    <w:rsid w:val="0058021A"/>
    <w:rsid w:val="0058282C"/>
    <w:rsid w:val="005A0667"/>
    <w:rsid w:val="005B5CD7"/>
    <w:rsid w:val="005C0625"/>
    <w:rsid w:val="005C1DA2"/>
    <w:rsid w:val="005C3A1F"/>
    <w:rsid w:val="005E1AB5"/>
    <w:rsid w:val="005F7B5C"/>
    <w:rsid w:val="006024C9"/>
    <w:rsid w:val="0060634A"/>
    <w:rsid w:val="006241F1"/>
    <w:rsid w:val="0063346B"/>
    <w:rsid w:val="0064038C"/>
    <w:rsid w:val="0064066E"/>
    <w:rsid w:val="00646BB4"/>
    <w:rsid w:val="006477B3"/>
    <w:rsid w:val="006774A7"/>
    <w:rsid w:val="00677786"/>
    <w:rsid w:val="006B0023"/>
    <w:rsid w:val="006C1B32"/>
    <w:rsid w:val="006C517D"/>
    <w:rsid w:val="006C5EAE"/>
    <w:rsid w:val="006F7242"/>
    <w:rsid w:val="0070343E"/>
    <w:rsid w:val="0072688E"/>
    <w:rsid w:val="00740361"/>
    <w:rsid w:val="00740BFE"/>
    <w:rsid w:val="00756AAE"/>
    <w:rsid w:val="0076089A"/>
    <w:rsid w:val="00765189"/>
    <w:rsid w:val="00765305"/>
    <w:rsid w:val="00786979"/>
    <w:rsid w:val="007900FA"/>
    <w:rsid w:val="00797542"/>
    <w:rsid w:val="007A344F"/>
    <w:rsid w:val="007A3E90"/>
    <w:rsid w:val="007B168A"/>
    <w:rsid w:val="007C6DE4"/>
    <w:rsid w:val="008043B0"/>
    <w:rsid w:val="00810415"/>
    <w:rsid w:val="008321BE"/>
    <w:rsid w:val="008416AD"/>
    <w:rsid w:val="00844078"/>
    <w:rsid w:val="008603AA"/>
    <w:rsid w:val="00876961"/>
    <w:rsid w:val="00880128"/>
    <w:rsid w:val="008A1CB8"/>
    <w:rsid w:val="008B1AF7"/>
    <w:rsid w:val="008B2CFE"/>
    <w:rsid w:val="008B3379"/>
    <w:rsid w:val="008B4BCE"/>
    <w:rsid w:val="008C1F09"/>
    <w:rsid w:val="008E0CB2"/>
    <w:rsid w:val="008E14F1"/>
    <w:rsid w:val="008F7FE4"/>
    <w:rsid w:val="00906B30"/>
    <w:rsid w:val="00920B74"/>
    <w:rsid w:val="009234D4"/>
    <w:rsid w:val="009553BD"/>
    <w:rsid w:val="009646E7"/>
    <w:rsid w:val="00967FB0"/>
    <w:rsid w:val="00970017"/>
    <w:rsid w:val="00975A9C"/>
    <w:rsid w:val="00983D8C"/>
    <w:rsid w:val="00987319"/>
    <w:rsid w:val="009A58BE"/>
    <w:rsid w:val="009C451A"/>
    <w:rsid w:val="009F3A70"/>
    <w:rsid w:val="00A05AC2"/>
    <w:rsid w:val="00A05C92"/>
    <w:rsid w:val="00A123C5"/>
    <w:rsid w:val="00A2204B"/>
    <w:rsid w:val="00A4497D"/>
    <w:rsid w:val="00A45ACC"/>
    <w:rsid w:val="00A64A26"/>
    <w:rsid w:val="00A64F34"/>
    <w:rsid w:val="00A66736"/>
    <w:rsid w:val="00A95EF9"/>
    <w:rsid w:val="00AB4D6A"/>
    <w:rsid w:val="00AB6537"/>
    <w:rsid w:val="00AE1A9D"/>
    <w:rsid w:val="00AE280F"/>
    <w:rsid w:val="00B001B9"/>
    <w:rsid w:val="00B300DA"/>
    <w:rsid w:val="00B45702"/>
    <w:rsid w:val="00B65944"/>
    <w:rsid w:val="00B74472"/>
    <w:rsid w:val="00B878D2"/>
    <w:rsid w:val="00B93369"/>
    <w:rsid w:val="00B94B09"/>
    <w:rsid w:val="00BA3A24"/>
    <w:rsid w:val="00BB0889"/>
    <w:rsid w:val="00BB6EA6"/>
    <w:rsid w:val="00BD5D28"/>
    <w:rsid w:val="00C1113F"/>
    <w:rsid w:val="00C13571"/>
    <w:rsid w:val="00C60A2E"/>
    <w:rsid w:val="00C631C4"/>
    <w:rsid w:val="00C73EF3"/>
    <w:rsid w:val="00C913C4"/>
    <w:rsid w:val="00CA62B9"/>
    <w:rsid w:val="00D042C0"/>
    <w:rsid w:val="00D44291"/>
    <w:rsid w:val="00D447EC"/>
    <w:rsid w:val="00D60BCC"/>
    <w:rsid w:val="00D6368A"/>
    <w:rsid w:val="00D71C86"/>
    <w:rsid w:val="00D74710"/>
    <w:rsid w:val="00D95B8C"/>
    <w:rsid w:val="00DA3C20"/>
    <w:rsid w:val="00DB25A2"/>
    <w:rsid w:val="00DB7F27"/>
    <w:rsid w:val="00DD6549"/>
    <w:rsid w:val="00DD7E61"/>
    <w:rsid w:val="00DE04B2"/>
    <w:rsid w:val="00DE460D"/>
    <w:rsid w:val="00DE6070"/>
    <w:rsid w:val="00DF13DE"/>
    <w:rsid w:val="00DF48C5"/>
    <w:rsid w:val="00E12619"/>
    <w:rsid w:val="00E17A19"/>
    <w:rsid w:val="00E23C96"/>
    <w:rsid w:val="00E65554"/>
    <w:rsid w:val="00E7378E"/>
    <w:rsid w:val="00E8089A"/>
    <w:rsid w:val="00E93178"/>
    <w:rsid w:val="00EC3AEC"/>
    <w:rsid w:val="00EC623A"/>
    <w:rsid w:val="00EE0D62"/>
    <w:rsid w:val="00F26FF6"/>
    <w:rsid w:val="00F400DF"/>
    <w:rsid w:val="00F41F35"/>
    <w:rsid w:val="00F63110"/>
    <w:rsid w:val="00F7413C"/>
    <w:rsid w:val="00F7514B"/>
    <w:rsid w:val="00F82EA6"/>
    <w:rsid w:val="00F83304"/>
    <w:rsid w:val="00F963A9"/>
    <w:rsid w:val="00FC4743"/>
    <w:rsid w:val="00FC5C9E"/>
    <w:rsid w:val="00FC5E7A"/>
    <w:rsid w:val="00FF67B3"/>
    <w:rsid w:val="00FF7589"/>
    <w:rsid w:val="01671981"/>
    <w:rsid w:val="01CE1A47"/>
    <w:rsid w:val="01F71A75"/>
    <w:rsid w:val="02C90021"/>
    <w:rsid w:val="036B57A9"/>
    <w:rsid w:val="036E2370"/>
    <w:rsid w:val="03A65631"/>
    <w:rsid w:val="042B29B5"/>
    <w:rsid w:val="04A806EF"/>
    <w:rsid w:val="07397B77"/>
    <w:rsid w:val="088739B0"/>
    <w:rsid w:val="0C2D76F0"/>
    <w:rsid w:val="0ED06A49"/>
    <w:rsid w:val="0EDB18BA"/>
    <w:rsid w:val="0F292F5A"/>
    <w:rsid w:val="11DC41FE"/>
    <w:rsid w:val="126A3C13"/>
    <w:rsid w:val="13471461"/>
    <w:rsid w:val="136F1AE9"/>
    <w:rsid w:val="13B90F01"/>
    <w:rsid w:val="14147F33"/>
    <w:rsid w:val="14CE5B0C"/>
    <w:rsid w:val="173F1B23"/>
    <w:rsid w:val="181066D2"/>
    <w:rsid w:val="1A6774B4"/>
    <w:rsid w:val="1B3B7574"/>
    <w:rsid w:val="1BD37BC5"/>
    <w:rsid w:val="1C671E73"/>
    <w:rsid w:val="1CAA065F"/>
    <w:rsid w:val="1CD23032"/>
    <w:rsid w:val="1D8C2B06"/>
    <w:rsid w:val="1E91047B"/>
    <w:rsid w:val="201617BD"/>
    <w:rsid w:val="20A90EFE"/>
    <w:rsid w:val="20E16803"/>
    <w:rsid w:val="236B2011"/>
    <w:rsid w:val="236C3D04"/>
    <w:rsid w:val="2385100F"/>
    <w:rsid w:val="24396201"/>
    <w:rsid w:val="24404DE8"/>
    <w:rsid w:val="24831A50"/>
    <w:rsid w:val="25407F0F"/>
    <w:rsid w:val="25647E27"/>
    <w:rsid w:val="25D57A9A"/>
    <w:rsid w:val="27416727"/>
    <w:rsid w:val="278C2E23"/>
    <w:rsid w:val="27B404B3"/>
    <w:rsid w:val="29E457AD"/>
    <w:rsid w:val="2A8323B7"/>
    <w:rsid w:val="2AA147BE"/>
    <w:rsid w:val="2C2A2442"/>
    <w:rsid w:val="2E79318D"/>
    <w:rsid w:val="2EE10125"/>
    <w:rsid w:val="2FD078EB"/>
    <w:rsid w:val="316304BD"/>
    <w:rsid w:val="33B04BF1"/>
    <w:rsid w:val="34347CDF"/>
    <w:rsid w:val="34935BF6"/>
    <w:rsid w:val="360770BC"/>
    <w:rsid w:val="36273B54"/>
    <w:rsid w:val="36786BFD"/>
    <w:rsid w:val="38CA40DD"/>
    <w:rsid w:val="3928127C"/>
    <w:rsid w:val="393614B6"/>
    <w:rsid w:val="395F2B56"/>
    <w:rsid w:val="3A03020F"/>
    <w:rsid w:val="3BECE841"/>
    <w:rsid w:val="3E8776F3"/>
    <w:rsid w:val="3FC65831"/>
    <w:rsid w:val="3FF7797D"/>
    <w:rsid w:val="40871452"/>
    <w:rsid w:val="41411DEC"/>
    <w:rsid w:val="417B6A66"/>
    <w:rsid w:val="433055A7"/>
    <w:rsid w:val="442376BB"/>
    <w:rsid w:val="44CD4316"/>
    <w:rsid w:val="475E3C02"/>
    <w:rsid w:val="47890A25"/>
    <w:rsid w:val="4A49756C"/>
    <w:rsid w:val="52374D47"/>
    <w:rsid w:val="54A50028"/>
    <w:rsid w:val="57851EDF"/>
    <w:rsid w:val="594F4B33"/>
    <w:rsid w:val="59D5707F"/>
    <w:rsid w:val="5A6A008A"/>
    <w:rsid w:val="5B28584B"/>
    <w:rsid w:val="5BA81764"/>
    <w:rsid w:val="5BFF6039"/>
    <w:rsid w:val="5D5D098D"/>
    <w:rsid w:val="5D76A616"/>
    <w:rsid w:val="5D7F20B9"/>
    <w:rsid w:val="5DAC7D0E"/>
    <w:rsid w:val="5DBB446C"/>
    <w:rsid w:val="5EA26A93"/>
    <w:rsid w:val="5EFF7E48"/>
    <w:rsid w:val="5F98B5AF"/>
    <w:rsid w:val="5FFE8511"/>
    <w:rsid w:val="5FFEACE2"/>
    <w:rsid w:val="61A31483"/>
    <w:rsid w:val="643EE26D"/>
    <w:rsid w:val="668B72E3"/>
    <w:rsid w:val="67CE706E"/>
    <w:rsid w:val="6864605E"/>
    <w:rsid w:val="68C8505C"/>
    <w:rsid w:val="6A585334"/>
    <w:rsid w:val="6A844DEC"/>
    <w:rsid w:val="6B223CBE"/>
    <w:rsid w:val="6C1600A0"/>
    <w:rsid w:val="6C1B7CD7"/>
    <w:rsid w:val="6F4138CA"/>
    <w:rsid w:val="6F513C59"/>
    <w:rsid w:val="6F520441"/>
    <w:rsid w:val="6F5C41AC"/>
    <w:rsid w:val="6FAF6C78"/>
    <w:rsid w:val="7317C656"/>
    <w:rsid w:val="734ED73F"/>
    <w:rsid w:val="73BB0B1A"/>
    <w:rsid w:val="73FE19D8"/>
    <w:rsid w:val="77FD8BE9"/>
    <w:rsid w:val="78A67A0A"/>
    <w:rsid w:val="79A9BD3F"/>
    <w:rsid w:val="7ACE373E"/>
    <w:rsid w:val="7BFFFDD0"/>
    <w:rsid w:val="7C336E5F"/>
    <w:rsid w:val="7CEA2F92"/>
    <w:rsid w:val="7D7A5F86"/>
    <w:rsid w:val="7EBC36FF"/>
    <w:rsid w:val="7F37BB4E"/>
    <w:rsid w:val="7FEF918E"/>
    <w:rsid w:val="7FF4FB6F"/>
    <w:rsid w:val="7FF7FF27"/>
    <w:rsid w:val="7FF960BC"/>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21"/>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19"/>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annotation subject"/>
    <w:basedOn w:val="4"/>
    <w:next w:val="4"/>
    <w:link w:val="22"/>
    <w:qFormat/>
    <w:uiPriority w:val="0"/>
    <w:rPr>
      <w:b/>
      <w:bCs/>
    </w:rPr>
  </w:style>
  <w:style w:type="paragraph" w:styleId="11">
    <w:name w:val="Body Text First Indent"/>
    <w:basedOn w:val="2"/>
    <w:qFormat/>
    <w:uiPriority w:val="0"/>
    <w:pPr>
      <w:spacing w:after="0"/>
      <w:ind w:firstLine="200" w:firstLineChars="200"/>
    </w:pPr>
  </w:style>
  <w:style w:type="paragraph" w:styleId="12">
    <w:name w:val="Body Text First Indent 2"/>
    <w:basedOn w:val="5"/>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Char"/>
    <w:basedOn w:val="14"/>
    <w:link w:val="6"/>
    <w:qFormat/>
    <w:uiPriority w:val="0"/>
    <w:rPr>
      <w:rFonts w:ascii="Times New Roman" w:hAnsi="Times New Roman" w:eastAsia="宋体" w:cs="Times New Roman"/>
      <w:kern w:val="2"/>
      <w:sz w:val="18"/>
      <w:szCs w:val="18"/>
    </w:rPr>
  </w:style>
  <w:style w:type="character" w:customStyle="1" w:styleId="20">
    <w:name w:val="页眉 Char"/>
    <w:basedOn w:val="14"/>
    <w:link w:val="8"/>
    <w:qFormat/>
    <w:uiPriority w:val="0"/>
    <w:rPr>
      <w:rFonts w:ascii="Times New Roman" w:hAnsi="Times New Roman" w:eastAsia="宋体" w:cs="Times New Roman"/>
      <w:kern w:val="2"/>
      <w:sz w:val="18"/>
      <w:szCs w:val="18"/>
    </w:rPr>
  </w:style>
  <w:style w:type="character" w:customStyle="1" w:styleId="21">
    <w:name w:val="批注文字 Char"/>
    <w:basedOn w:val="14"/>
    <w:link w:val="4"/>
    <w:qFormat/>
    <w:uiPriority w:val="0"/>
    <w:rPr>
      <w:rFonts w:ascii="Times New Roman" w:hAnsi="Times New Roman" w:eastAsia="宋体" w:cs="Times New Roman"/>
      <w:kern w:val="2"/>
      <w:sz w:val="21"/>
      <w:szCs w:val="24"/>
    </w:rPr>
  </w:style>
  <w:style w:type="character" w:customStyle="1" w:styleId="22">
    <w:name w:val="批注主题 Char"/>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4D395-9DE7-48F8-A3FF-2256EF1F8AC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1781</Words>
  <Characters>10152</Characters>
  <Lines>84</Lines>
  <Paragraphs>23</Paragraphs>
  <TotalTime>0</TotalTime>
  <ScaleCrop>false</ScaleCrop>
  <LinksUpToDate>false</LinksUpToDate>
  <CharactersWithSpaces>11910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Half city、</cp:lastModifiedBy>
  <dcterms:modified xsi:type="dcterms:W3CDTF">2023-11-20T03:25:58Z</dcterms:modified>
  <cp:revision>519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DEB37354E36D40D48F20A3DAB18895C3</vt:lpwstr>
  </property>
</Properties>
</file>